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pStyle w:val="873"/>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：龙虎塘中学改扩建项目家具设备采购安装</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default" w:ascii="宋体" w:hAnsi="宋体" w:eastAsia="宋体" w:cs="宋体"/>
          <w:bCs/>
          <w:color w:val="auto"/>
          <w:sz w:val="32"/>
          <w:szCs w:val="32"/>
          <w:highlight w:val="none"/>
          <w:lang w:val="en-US"/>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JSZC-320411009-JDGS-G2026-0024</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常州市新北区龙虎塘中学</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cs="宋体"/>
          <w:bCs/>
          <w:color w:val="auto"/>
          <w:sz w:val="32"/>
          <w:szCs w:val="32"/>
          <w:highlight w:val="none"/>
          <w:lang w:val="en-US" w:eastAsia="zh-CN"/>
        </w:rPr>
        <w:t xml:space="preserve">江苏建达全过程工程咨询有限公司</w:t>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br w:type="page" w:clear="all"/>
      </w:r>
      <w:bookmarkStart w:id="0" w:name="_Toc99301418"/>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05"/>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05"/>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_Toc23687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05"/>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05"/>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05"/>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32</w:t>
      </w:r>
      <w:r/>
    </w:p>
    <w:p>
      <w:pPr>
        <w:pStyle w:val="705"/>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 xml:space="preserve">拟签订的合同文本</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39</w:t>
      </w:r>
      <w:r/>
    </w:p>
    <w:p>
      <w:pPr>
        <w:pStyle w:val="705"/>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30"/>
          <w:szCs w:val="30"/>
          <w:highlight w:val="none"/>
        </w:rPr>
        <w:t xml:space="preserve">投标文件的组成及提交须知</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53</w:t>
      </w:r>
      <w:r/>
    </w:p>
    <w:p>
      <w:pPr>
        <w:pStyle w:val="705"/>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p>
    <w:p>
      <w:pPr>
        <w:pStyle w:val="705"/>
        <w:keepLines w:val="0"/>
        <w:keepNext w:val="0"/>
        <w:pageBreakBefore w:val="0"/>
        <w:spacing w:line="720" w:lineRule="auto"/>
        <w:shd w:val="clear" w:color="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695"/>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695"/>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695"/>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695"/>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1" w:name="_Toc143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常州市新北区龙虎塘中学</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u w:val="single"/>
          <w:lang w:eastAsia="zh-CN"/>
        </w:rPr>
        <w:t xml:space="preserve">江苏建达全过程工程咨询有限公司</w:t>
      </w:r>
      <w:r>
        <w:rPr>
          <w:rFonts w:hint="eastAsia" w:ascii="宋体" w:hAnsi="宋体" w:eastAsia="宋体" w:cs="宋体"/>
          <w:color w:val="auto"/>
          <w:sz w:val="21"/>
          <w:szCs w:val="21"/>
          <w:highlight w:val="none"/>
        </w:rPr>
        <w:t xml:space="preserve">就</w:t>
      </w:r>
      <w:r>
        <w:rPr>
          <w:rFonts w:hint="eastAsia" w:ascii="宋体" w:hAnsi="宋体" w:cs="宋体"/>
          <w:color w:val="auto"/>
          <w:sz w:val="21"/>
          <w:szCs w:val="21"/>
          <w:highlight w:val="none"/>
          <w:u w:val="single"/>
          <w:lang w:eastAsia="zh-CN"/>
        </w:rPr>
        <w:t xml:space="preserve">龙虎塘中学改扩建项目家具设备采购安装</w:t>
      </w:r>
      <w:r>
        <w:rPr>
          <w:rFonts w:hint="eastAsia" w:ascii="宋体" w:hAnsi="宋体" w:eastAsia="宋体" w:cs="宋体"/>
          <w:color w:val="auto"/>
          <w:sz w:val="21"/>
          <w:szCs w:val="21"/>
          <w:highlight w:val="none"/>
        </w:rPr>
        <w:t xml:space="preserve">进行公开招标采购，各潜在投标人可在“苏采云”平台自行免费下载招标文件，并于</w:t>
      </w:r>
      <w:r>
        <w:rPr>
          <w:rFonts w:hint="eastAsia" w:ascii="宋体" w:hAnsi="宋体" w:eastAsia="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jc w:val="left"/>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42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JSZC-320411009-JDGS-G2026-0024</w:t>
      </w:r>
      <w:r/>
    </w:p>
    <w:p>
      <w:pPr>
        <w:ind w:firstLine="420"/>
        <w:spacing w:line="360" w:lineRule="auto"/>
        <w:shd w:val="clear" w:color="auto"/>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龙虎塘中学改扩建项目家具设备采购安装</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151.25万元。</w:t>
      </w:r>
      <w:r/>
    </w:p>
    <w:p>
      <w:pPr>
        <w:ind w:firstLine="420"/>
        <w:spacing w:line="360" w:lineRule="auto"/>
        <w:shd w:val="clear" w:color="auto"/>
        <w:rPr>
          <w:rFonts w:hint="default" w:ascii="宋体" w:hAnsi="宋体" w:eastAsia="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151.25</w:t>
      </w:r>
      <w:r>
        <w:rPr>
          <w:rFonts w:hint="eastAsia" w:ascii="宋体" w:hAnsi="宋体" w:cs="宋体"/>
          <w:b w:val="0"/>
          <w:bCs w:val="0"/>
          <w:color w:val="auto"/>
          <w:sz w:val="21"/>
          <w:szCs w:val="21"/>
          <w:highlight w:val="none"/>
          <w:u w:val="none"/>
          <w:lang w:val="en-US" w:eastAsia="zh-CN"/>
        </w:rPr>
        <w:t xml:space="preserve">万元。</w:t>
      </w:r>
      <w:r/>
    </w:p>
    <w:p>
      <w:pPr>
        <w:ind w:firstLine="420"/>
        <w:spacing w:line="360" w:lineRule="auto"/>
        <w:shd w:val="clear" w:color="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龙虎塘中学改扩建项目家具设备采购安装，包括但不限于招标文件及其基本技术要求范围内相应货物制造（采购）前的准备（包括现场踏勘、技术核对等）、采购、定制、加工制作、检验检测、包装、发货、运输、装卸至现场指定地点、安装、调试、技术服务、主管单位验收、质保期及维保服务等全部内容。详细内容见本招标文件采购需求。</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6.合同履行期限：合同签订生效后30日历天内供货、安装、调试完毕并验收合格直至交付使用。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szCs w:val="21"/>
          <w:highlight w:val="none"/>
        </w:rPr>
        <w:t xml:space="preserve">□是  ■否。</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szCs w:val="21"/>
          <w:highlight w:val="none"/>
        </w:rPr>
        <w:t xml:space="preserve">□是  ■否。</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二、申请人的资格要求（须同时满足）</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 中小企业政策（说明：中小企业包含中型、小型、微型企业，小微企业包含小型、微型企业）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中小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小微企业  采购。即：提供的</w:t>
      </w:r>
      <w:r>
        <w:rPr>
          <w:rFonts w:hint="eastAsia" w:ascii="宋体" w:hAnsi="宋体" w:cs="宋体"/>
          <w:color w:val="auto"/>
          <w:szCs w:val="21"/>
          <w:highlight w:val="none"/>
          <w:lang w:eastAsia="zh-CN"/>
        </w:rPr>
        <w:t xml:space="preserve">货物</w:t>
      </w:r>
      <w:r>
        <w:rPr>
          <w:rFonts w:hint="eastAsia" w:ascii="宋体" w:hAnsi="宋体" w:cs="宋体"/>
          <w:color w:val="auto"/>
          <w:szCs w:val="21"/>
          <w:highlight w:val="none"/>
        </w:rPr>
        <w:t xml:space="preserve">全部由符合政策要求的中小/小微企业承接。</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outlineLvl w:val="9"/>
      </w:pPr>
      <w:r>
        <w:rPr>
          <w:rFonts w:hint="eastAsia" w:ascii="宋体" w:hAnsi="宋体" w:eastAsia="宋体" w:cs="宋体"/>
          <w:color w:val="auto"/>
          <w:sz w:val="21"/>
          <w:szCs w:val="21"/>
          <w:highlight w:val="none"/>
        </w:rPr>
        <w:t xml:space="preserve">3.本项目的特定资格要求：</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w:t>
      </w:r>
      <w:r>
        <w:rPr>
          <w:rFonts w:ascii="Wingdings 2" w:hAnsi="Wingdings 2" w:eastAsia="Wingdings 2" w:cs="Wingdings 2"/>
          <w:color w:val="auto"/>
          <w:sz w:val="21"/>
          <w:szCs w:val="21"/>
          <w:highlight w:val="none"/>
        </w:rPr>
        <w:t xml:space="preserve">£</w:t>
      </w:r>
      <w:r>
        <w:rPr>
          <w:rFonts w:hint="eastAsia" w:ascii="宋体" w:hAnsi="宋体" w:cs="宋体"/>
          <w:color w:val="auto"/>
          <w:sz w:val="21"/>
          <w:szCs w:val="21"/>
          <w:highlight w:val="none"/>
          <w:lang w:eastAsia="zh-CN"/>
        </w:rPr>
        <w:t xml:space="preserve">是</w:t>
      </w:r>
      <w:r>
        <w:rPr>
          <w:rFonts w:hint="eastAsia" w:ascii="宋体" w:hAnsi="宋体" w:eastAsia="宋体" w:cs="宋体"/>
          <w:color w:val="auto"/>
          <w:sz w:val="21"/>
          <w:szCs w:val="21"/>
          <w:highlight w:val="none"/>
        </w:rPr>
        <w:t xml:space="preserve">■否。</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w:t>
      </w:r>
      <w:r>
        <w:rPr>
          <w:rFonts w:ascii="Wingdings 2" w:hAnsi="Wingdings 2" w:eastAsia="Wingdings 2" w:cs="Wingdings 2"/>
          <w:color w:val="auto"/>
          <w:sz w:val="21"/>
          <w:szCs w:val="21"/>
          <w:highlight w:val="none"/>
        </w:rPr>
        <w:t xml:space="preserve">£</w:t>
      </w:r>
      <w:r>
        <w:rPr>
          <w:rFonts w:hint="eastAsia" w:ascii="宋体" w:hAnsi="宋体" w:cs="宋体"/>
          <w:color w:val="auto"/>
          <w:sz w:val="21"/>
          <w:szCs w:val="21"/>
          <w:highlight w:val="none"/>
          <w:lang w:eastAsia="zh-CN"/>
        </w:rPr>
        <w:t xml:space="preserve">是</w:t>
      </w:r>
      <w:r>
        <w:rPr>
          <w:rFonts w:hint="eastAsia" w:ascii="宋体" w:hAnsi="宋体" w:eastAsia="宋体" w:cs="宋体"/>
          <w:color w:val="auto"/>
          <w:sz w:val="21"/>
          <w:szCs w:val="21"/>
          <w:highlight w:val="none"/>
        </w:rPr>
        <w:t xml:space="preserve">■否。</w:t>
      </w:r>
      <w:r/>
    </w:p>
    <w:p>
      <w:pPr>
        <w:ind w:firstLine="420"/>
        <w:jc w:val="left"/>
        <w:keepLines w:val="0"/>
        <w:keepNext w:val="0"/>
        <w:pageBreakBefore w:val="0"/>
        <w:spacing w:before="0" w:line="360" w:lineRule="auto"/>
        <w:shd w:val="clear" w:color="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w:t>
      </w:r>
      <w:r>
        <w:rPr>
          <w:rFonts w:hint="eastAsia" w:ascii="宋体" w:hAnsi="宋体" w:eastAsia="宋体" w:cs="宋体"/>
          <w:color w:val="auto"/>
          <w:sz w:val="21"/>
          <w:szCs w:val="21"/>
          <w:highlight w:val="none"/>
          <w:u w:val="single"/>
          <w:lang w:val="en-US" w:eastAsia="zh-CN"/>
        </w:rPr>
        <w:t xml:space="preserve">   /   </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w:t>
      </w:r>
      <w:r/>
    </w:p>
    <w:p>
      <w:pPr>
        <w:ind w:firstLine="420"/>
        <w:keepLines w:val="0"/>
        <w:keepNext w:val="0"/>
        <w:pageBreakBefore w:val="0"/>
        <w:spacing w:line="360" w:lineRule="auto"/>
        <w:shd w:val="clear" w:color="auto"/>
        <w:rPr>
          <w:rFonts w:hint="default" w:ascii="宋体" w:hAnsi="宋体" w:eastAsia="宋体" w:cs="宋体"/>
          <w:color w:val="auto"/>
          <w:sz w:val="21"/>
          <w:szCs w:val="21"/>
          <w:highlight w:val="none"/>
          <w:lang w:val="en-US"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bCs/>
          <w:color w:val="auto"/>
          <w:sz w:val="21"/>
          <w:szCs w:val="21"/>
          <w:highlight w:val="none"/>
          <w:u w:val="none"/>
          <w:shd w:val="clear" w:color="auto"/>
          <w:lang w:val="en-US" w:eastAsia="zh-CN"/>
        </w:rPr>
        <w:t xml:space="preserve">自本公告发布之日起5个工作日。</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eastAsia="宋体" w:cs="宋体"/>
          <w:color w:val="auto"/>
          <w:sz w:val="21"/>
          <w:szCs w:val="21"/>
          <w:highlight w:val="none"/>
          <w:lang w:bidi="ar"/>
        </w:rPr>
        <w:t xml:space="preserve">（http://jszfcg.jscz.gov.cn/jszc/login）获取电子版招标文件。</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360" w:lineRule="auto"/>
        <w:shd w:val="clear" w:color="auto"/>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6</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9</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30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认真学习政府采购一体化平台“苏采云”发布的相关操作手册，办理CA认证证书、进行政府采购一体化平台“苏采云”注册绑定，并认真核实数字认证证书情况确认是否符合本项目电子化采购流程要求。</w:t>
      </w:r>
      <w:r/>
    </w:p>
    <w:p>
      <w:pPr>
        <w:ind w:firstLine="420"/>
        <w:pageBreakBefore w:val="0"/>
        <w:spacing w:line="360" w:lineRule="auto"/>
        <w:shd w:val="clear" w:color="auto"/>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相关政府采购一体化平台“苏采云”信息及内容如有变更的，则以“江苏政府采购网”、“常州市政府采购网”公布的最新相关信息为准。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技术支持服务热线</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0519-85588210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CA认证证书办理（可邮寄）联系电话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0519-85588120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2.1办理CA认证证书</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供应商登录政府采购一体化平台“苏采云”“新CA办理指南”，按照程序要求办理。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 用户注册”查阅后进行自助注册。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2.3控件、客户端下载</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下载“驱动下载”，安装驱动。</w:t>
      </w:r>
      <w:r/>
    </w:p>
    <w:p>
      <w:pPr>
        <w:ind w:firstLine="42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2.4 获取电子</w:t>
      </w:r>
      <w:r>
        <w:rPr>
          <w:rFonts w:hint="eastAsia" w:ascii="宋体" w:hAnsi="宋体" w:cs="宋体"/>
          <w:color w:val="auto"/>
          <w:sz w:val="21"/>
          <w:szCs w:val="21"/>
          <w:highlight w:val="none"/>
          <w:lang w:eastAsia="zh-CN"/>
        </w:rPr>
        <w:t xml:space="preserve">招标文件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供应商持CA数字认证证书登录政府采购一体化平台“苏采云”获取电子招标文件。未在规定期限内通过政府采购一体化平台“苏采云”获取</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的响应无效。</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2.5编制电子响应文件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2.6提交电子响应文件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供应商应于响应截止时间前在政府采购一体化平台“苏采云”提交电子响应文件，上传电子响应文件过程中请保持与互联网的连接畅通。</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2.7电子开标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供应商使用CA认证证书登录政府采购一体化平台“苏采云”进行电子化不见面开标。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2.8注意事项</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5.公告发布媒体：常州市政府采购网、江苏建达全过程工程咨询有限公司网站</w:t>
      </w:r>
      <w:r/>
    </w:p>
    <w:p>
      <w:pPr>
        <w:ind w:firstLine="422"/>
        <w:pageBreakBefore w:val="0"/>
        <w:spacing w:line="360" w:lineRule="auto"/>
        <w:shd w:val="clear" w:color="auto"/>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pageBreakBefore w:val="0"/>
        <w:spacing w:before="0"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常州市新北区龙虎塘中学</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地址：</w:t>
      </w:r>
      <w:r>
        <w:rPr>
          <w:rFonts w:hint="eastAsia" w:ascii="宋体" w:hAnsi="宋体" w:eastAsia="宋体" w:cs="宋体"/>
          <w:color w:val="auto"/>
          <w:sz w:val="21"/>
          <w:szCs w:val="21"/>
          <w:highlight w:val="none"/>
          <w:u w:val="none"/>
          <w:lang w:eastAsia="zh-CN"/>
        </w:rPr>
        <w:t xml:space="preserve">新北区北街168号</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联系方式：</w:t>
      </w:r>
      <w:r>
        <w:rPr>
          <w:rFonts w:hint="eastAsia" w:ascii="宋体" w:hAnsi="宋体" w:eastAsia="宋体" w:cs="宋体"/>
          <w:color w:val="auto"/>
          <w:sz w:val="21"/>
          <w:szCs w:val="21"/>
          <w:highlight w:val="none"/>
          <w:u w:val="none"/>
          <w:lang w:eastAsia="zh-CN"/>
        </w:rPr>
        <w:t xml:space="preserve">0519-85480601</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江苏建达全过程工程咨询有限公司</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w:t>
      </w:r>
      <w:r>
        <w:rPr>
          <w:rFonts w:hint="eastAsia" w:ascii="宋体" w:hAnsi="宋体" w:eastAsia="宋体" w:cs="宋体"/>
          <w:color w:val="auto"/>
          <w:sz w:val="21"/>
          <w:szCs w:val="21"/>
          <w:highlight w:val="none"/>
          <w:u w:val="none"/>
          <w:lang w:eastAsia="zh-CN"/>
        </w:rPr>
        <w:t xml:space="preserve">新北区通江中路307号四楼</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联系方式：0519-89885060</w:t>
      </w:r>
      <w:r/>
    </w:p>
    <w:p>
      <w:pPr>
        <w:ind w:firstLine="422"/>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700"/>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沈工</w:t>
      </w:r>
      <w:r/>
    </w:p>
    <w:p>
      <w:pPr>
        <w:pStyle w:val="700"/>
        <w:ind w:firstLine="420"/>
        <w:jc w:val="both"/>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w:t>
      </w:r>
      <w:bookmarkStart w:id="2" w:name="_Toc23687"/>
      <w:r>
        <w:rPr>
          <w:rFonts w:hint="eastAsia" w:ascii="宋体" w:hAnsi="宋体" w:eastAsia="宋体" w:cs="宋体"/>
          <w:color w:val="auto"/>
          <w:sz w:val="21"/>
          <w:szCs w:val="21"/>
          <w:highlight w:val="none"/>
          <w:u w:val="none"/>
        </w:rPr>
        <w:t xml:space="preserve">0519-89885060</w:t>
      </w:r>
      <w:r/>
    </w:p>
    <w:p>
      <w:pPr>
        <w:pStyle w:val="691"/>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00"/>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spacing w:before="0" w:line="360" w:lineRule="auto"/>
        <w:shd w:val="clear" w:color="auto"/>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690"/>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19"/>
      </w:tblGrid>
      <w:tr>
        <w:trPr>
          <w:jc w:val="center"/>
          <w:trHeight w:val="567"/>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7519"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■货物</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关于核心产品本项目：适用</w:t>
            </w:r>
            <w:r/>
          </w:p>
          <w:p>
            <w:pPr>
              <w:ind w:left="0" w:right="0"/>
              <w:jc w:val="left"/>
              <w:keepLines w:val="0"/>
              <w:keepNext w:val="0"/>
              <w:pageBreakBefore w:val="0"/>
              <w:spacing w:before="0" w:beforeAutospacing="0" w:after="0" w:afterAutospacing="0" w:line="312" w:lineRule="auto"/>
              <w:shd w:val="clear" w:color="auto"/>
              <w:widowControl w:val="off"/>
              <w:rPr>
                <w:rFonts w:hint="default" w:ascii="宋体" w:hAnsi="宋体" w:eastAsia="宋体" w:cs="宋体"/>
                <w:b w:val="0"/>
                <w:bCs/>
                <w:color w:val="auto"/>
                <w:sz w:val="21"/>
                <w:szCs w:val="21"/>
                <w:highlight w:val="none"/>
                <w:u w:val="none"/>
                <w:lang w:val="en-US"/>
              </w:rPr>
              <w:outlineLvl w:val="9"/>
              <w:suppressLineNumbers w:val="0"/>
            </w:pPr>
            <w:r>
              <w:rPr>
                <w:rFonts w:hint="eastAsia" w:ascii="宋体" w:hAnsi="宋体" w:eastAsia="宋体" w:cs="宋体"/>
                <w:b w:val="0"/>
                <w:bCs/>
                <w:color w:val="auto"/>
                <w:sz w:val="21"/>
                <w:szCs w:val="21"/>
                <w:highlight w:val="none"/>
              </w:rPr>
              <w:t xml:space="preserve">本项目为非单一产品采购项目，核心产品为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u w:val="single"/>
                <w:lang w:val="en-US" w:eastAsia="zh-CN"/>
              </w:rPr>
              <w:t xml:space="preserve">4人位餐桌</w:t>
            </w:r>
            <w:r>
              <w:rPr>
                <w:rFonts w:hint="eastAsia" w:ascii="宋体" w:hAnsi="宋体" w:eastAsia="宋体" w:cs="宋体"/>
                <w:b w:val="0"/>
                <w:bCs/>
                <w:color w:val="auto"/>
                <w:sz w:val="21"/>
                <w:szCs w:val="21"/>
                <w:highlight w:val="none"/>
                <w:u w:val="none"/>
                <w:lang w:val="en-US" w:eastAsia="zh-CN"/>
              </w:rPr>
              <w:t xml:space="preserve">。</w:t>
            </w:r>
            <w:r/>
          </w:p>
        </w:tc>
      </w:tr>
      <w:tr>
        <w:trPr>
          <w:jc w:val="center"/>
          <w:trHeight w:val="567"/>
        </w:trPr>
        <w:tc>
          <w:tcPr>
            <w:tcW w:w="988" w:type="dxa"/>
            <w:vAlign w:val="center"/>
            <w:vMerge w:val="restart"/>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700"/>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vMerge w:val="continue"/>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■需要，具体要求如下：</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需提供样品:</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835"/>
              <w:gridCol w:w="1260"/>
              <w:gridCol w:w="1217"/>
            </w:tblGrid>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序号</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名称</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数量</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单位</w:t>
                  </w:r>
                  <w:r/>
                </w:p>
              </w:tc>
            </w:tr>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1</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val="en-US" w:eastAsia="zh-CN" w:bidi="ar"/>
                    </w:rPr>
                    <w:t xml:space="preserve">人位餐桌</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1</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套</w:t>
                  </w:r>
                  <w:r/>
                </w:p>
              </w:tc>
            </w:tr>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default"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2</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课桌</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default"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1</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张</w:t>
                  </w:r>
                  <w:r/>
                </w:p>
              </w:tc>
            </w:tr>
          </w:tbl>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1"/>
                <w:szCs w:val="21"/>
                <w:highlight w:val="none"/>
                <w:lang w:eastAsia="zh-CN"/>
              </w:rPr>
              <w:t xml:space="preserve">未中标单位样品将在中标公告发布后由投标人自行运回</w:t>
            </w:r>
            <w:r>
              <w:rPr>
                <w:rFonts w:hint="eastAsia" w:ascii="宋体" w:hAnsi="宋体" w:eastAsia="宋体" w:cs="宋体"/>
                <w:color w:val="000000"/>
                <w:sz w:val="21"/>
                <w:szCs w:val="21"/>
                <w:highlight w:val="none"/>
              </w:rPr>
              <w:t xml:space="preserve">。</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样品外须粘贴标签（样品分别做标签，标签不大于10cm×8cm，格式参考如下），在标签上注明项目名称、投标人名称并加盖投标人公章；该标签须粘贴牢固，并用不透明白纸将标签沿四周粘贴遮盖严实,否则视为无效投标。</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bl>
            <w:tblPr>
              <w:tblStyle w:val="690"/>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样品标签</w:t>
                  </w:r>
                  <w:r/>
                </w:p>
              </w:tc>
            </w:tr>
            <w:tr>
              <w:trPr>
                <w:jc w:val="center"/>
                <w:trHeight w:val="646"/>
              </w:trPr>
              <w:tc>
                <w:tcPr>
                  <w:tcW w:w="4694"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xxxxxxxxxxxxx</w:t>
                  </w:r>
                  <w:r/>
                </w:p>
              </w:tc>
            </w:tr>
            <w:tr>
              <w:trPr>
                <w:jc w:val="center"/>
                <w:trHeight w:val="1170"/>
              </w:trPr>
              <w:tc>
                <w:tcPr>
                  <w:tcW w:w="4694" w:type="dxa"/>
                  <w:vAlign w:val="top"/>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w:t>
                  </w:r>
                  <w:r/>
                </w:p>
                <w:p>
                  <w:pPr>
                    <w:ind w:left="0" w:right="0"/>
                    <w:jc w:val="righ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加盖</w:t>
                  </w:r>
                  <w:r>
                    <w:rPr>
                      <w:rFonts w:hint="eastAsia" w:ascii="宋体" w:hAnsi="宋体" w:eastAsia="宋体" w:cs="宋体"/>
                      <w:color w:val="000000"/>
                      <w:sz w:val="21"/>
                      <w:szCs w:val="21"/>
                      <w:highlight w:val="none"/>
                    </w:rPr>
                    <w:t xml:space="preserve">（公章）</w:t>
                  </w:r>
                  <w:r/>
                </w:p>
                <w:p>
                  <w:pPr>
                    <w:ind w:left="0" w:right="0"/>
                    <w:jc w:val="righ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p>
              </w:tc>
            </w:tr>
          </w:tbl>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样品制作及运输费用由投标人自行承担。</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未能提供样品或</w:t>
            </w:r>
            <w:r>
              <w:rPr>
                <w:rFonts w:hint="eastAsia" w:ascii="宋体" w:hAnsi="宋体" w:eastAsia="宋体" w:cs="宋体"/>
                <w:color w:val="000000"/>
                <w:sz w:val="21"/>
                <w:szCs w:val="21"/>
                <w:highlight w:val="none"/>
                <w:lang w:eastAsia="zh-CN"/>
              </w:rPr>
              <w:t xml:space="preserve">样品明显不符合要求</w:t>
            </w:r>
            <w:r>
              <w:rPr>
                <w:rFonts w:hint="eastAsia" w:ascii="宋体" w:hAnsi="宋体" w:eastAsia="宋体" w:cs="宋体"/>
                <w:color w:val="000000"/>
                <w:sz w:val="21"/>
                <w:szCs w:val="21"/>
                <w:highlight w:val="none"/>
              </w:rPr>
              <w:t xml:space="preserve">的，样品分项不得分。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送样时间:</w:t>
            </w: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日上午</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lang w:eastAsia="zh-CN"/>
              </w:rPr>
              <w:t xml:space="preserve">至下午1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0截止</w:t>
            </w:r>
            <w:r>
              <w:rPr>
                <w:rFonts w:hint="eastAsia" w:ascii="宋体" w:hAnsi="宋体" w:eastAsia="宋体" w:cs="宋体"/>
                <w:color w:val="000000"/>
                <w:sz w:val="21"/>
                <w:szCs w:val="21"/>
                <w:highlight w:val="none"/>
              </w:rPr>
              <w:t xml:space="preserve">，逾期不再接受。</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送样地点:常州市新北区通江中路307号四楼。</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送样联系人:</w:t>
            </w:r>
            <w:r>
              <w:rPr>
                <w:rFonts w:hint="eastAsia" w:ascii="宋体" w:hAnsi="宋体" w:eastAsia="宋体" w:cs="宋体"/>
                <w:color w:val="000000"/>
                <w:sz w:val="21"/>
                <w:szCs w:val="21"/>
                <w:highlight w:val="none"/>
                <w:lang w:eastAsia="zh-CN"/>
              </w:rPr>
              <w:t xml:space="preserve">沈工</w:t>
            </w:r>
            <w:r>
              <w:rPr>
                <w:rFonts w:hint="eastAsia" w:ascii="宋体" w:hAnsi="宋体" w:eastAsia="宋体" w:cs="宋体"/>
                <w:color w:val="000000"/>
                <w:sz w:val="21"/>
                <w:szCs w:val="21"/>
                <w:highlight w:val="none"/>
              </w:rPr>
              <w:t xml:space="preserve">，联系电话:05919-89885060</w:t>
            </w:r>
            <w:r>
              <w:rPr>
                <w:rFonts w:hint="eastAsia" w:ascii="宋体" w:hAnsi="宋体" w:eastAsia="宋体" w:cs="宋体"/>
                <w:color w:val="000000"/>
                <w:sz w:val="21"/>
                <w:szCs w:val="21"/>
                <w:highlight w:val="none"/>
                <w:lang w:eastAsia="zh-CN"/>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u w:val="none"/>
              </w:rPr>
              <w:t xml:space="preserve">送样时提供送样表(格式见招标文件采购需求中样品递交要求)</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eastAsia="宋体" w:cs="宋体"/>
                <w:b w:val="0"/>
                <w:bCs/>
                <w:color w:val="auto"/>
                <w:sz w:val="21"/>
                <w:szCs w:val="21"/>
                <w:highlight w:val="none"/>
                <w:u w:val="single"/>
              </w:rPr>
              <w:t xml:space="preserve">工业</w:t>
            </w:r>
            <w:r>
              <w:rPr>
                <w:rFonts w:hint="eastAsia" w:ascii="宋体" w:hAnsi="宋体" w:cs="宋体"/>
                <w:b w:val="0"/>
                <w:bCs/>
                <w:color w:val="auto"/>
                <w:sz w:val="21"/>
                <w:szCs w:val="21"/>
                <w:highlight w:val="none"/>
                <w:lang w:eastAsia="zh-CN"/>
              </w:rPr>
              <w:t xml:space="preserve">。</w:t>
            </w:r>
            <w:r/>
          </w:p>
        </w:tc>
      </w:tr>
      <w:tr>
        <w:trPr>
          <w:jc w:val="center"/>
          <w:trHeight w:val="567"/>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有，具体情形：</w:t>
            </w:r>
            <w:r>
              <w:rPr>
                <w:rFonts w:hint="eastAsia" w:ascii="宋体" w:hAnsi="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 xml:space="preserve">日历天。</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5</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22</w:t>
            </w:r>
            <w:r>
              <w:rPr>
                <w:rFonts w:hint="eastAsia" w:ascii="宋体" w:hAnsi="宋体" w:eastAsia="宋体" w:cs="宋体"/>
                <w:b w:val="0"/>
                <w:bCs/>
                <w:color w:val="auto"/>
                <w:sz w:val="21"/>
                <w:szCs w:val="21"/>
                <w:highlight w:val="none"/>
                <w:u w:val="single"/>
                <w:shd w:val="clear" w:color="auto"/>
                <w:lang w:val="en-US" w:eastAsia="zh-CN" w:bidi="ar"/>
              </w:rPr>
              <w:t xml:space="preserve">日11:30前</w:t>
            </w:r>
            <w:r/>
          </w:p>
        </w:tc>
      </w:tr>
      <w:tr>
        <w:trPr>
          <w:jc w:val="center"/>
          <w:trHeight w:val="567"/>
        </w:trPr>
        <w:tc>
          <w:tcPr>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7519" w:type="dxa"/>
            <w:vAlign w:val="center"/>
            <w:textDirection w:val="lrTb"/>
            <w:noWrap w:val="false"/>
          </w:tcPr>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cs="宋体"/>
                <w:b w:val="0"/>
                <w:bCs/>
                <w:color w:val="auto"/>
                <w:sz w:val="21"/>
                <w:szCs w:val="21"/>
                <w:highlight w:val="none"/>
                <w:u w:val="single"/>
                <w:lang w:val="en-US" w:eastAsia="zh-CN"/>
              </w:rPr>
              <w:t xml:space="preserve">江苏建达全过程工程咨询有限公司</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w:t>
            </w:r>
            <w:r>
              <w:rPr>
                <w:rFonts w:hint="eastAsia" w:ascii="宋体" w:hAnsi="宋体" w:cs="宋体"/>
                <w:b w:val="0"/>
                <w:bCs/>
                <w:color w:val="auto"/>
                <w:sz w:val="21"/>
                <w:szCs w:val="21"/>
                <w:highlight w:val="none"/>
                <w:u w:val="single"/>
                <w:lang w:val="en-US" w:eastAsia="zh-CN"/>
              </w:rPr>
              <w:t xml:space="preserve">89885060</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lang w:eastAsia="zh-CN"/>
              </w:rPr>
              <w:t xml:space="preserve">新北区通江中路307号四楼</w:t>
            </w:r>
            <w:r>
              <w:rPr>
                <w:rFonts w:hint="eastAsia" w:ascii="宋体" w:hAnsi="宋体" w:eastAsia="宋体" w:cs="宋体"/>
                <w:b w:val="0"/>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700"/>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中标总</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100万元（含）以下费率1.</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lang w:val="en-US" w:eastAsia="zh-CN"/>
              </w:rPr>
              <w:t xml:space="preserve">%，100</w:t>
            </w:r>
            <w:r>
              <w:rPr>
                <w:rFonts w:hint="eastAsia" w:ascii="宋体" w:hAnsi="宋体" w:cs="宋体"/>
                <w:b w:val="0"/>
                <w:bCs/>
                <w:color w:val="auto"/>
                <w:sz w:val="21"/>
                <w:szCs w:val="21"/>
                <w:highlight w:val="none"/>
                <w:u w:val="single"/>
                <w:lang w:val="en-US" w:eastAsia="zh-CN"/>
              </w:rPr>
              <w:t xml:space="preserve">万元（不含）</w:t>
            </w:r>
            <w:r>
              <w:rPr>
                <w:rFonts w:hint="eastAsia" w:ascii="宋体" w:hAnsi="宋体" w:eastAsia="宋体" w:cs="宋体"/>
                <w:b w:val="0"/>
                <w:bCs/>
                <w:color w:val="auto"/>
                <w:sz w:val="21"/>
                <w:szCs w:val="21"/>
                <w:highlight w:val="none"/>
                <w:u w:val="single"/>
                <w:lang w:val="en-US" w:eastAsia="zh-CN"/>
              </w:rPr>
              <w:t xml:space="preserve">-500万元</w:t>
            </w:r>
            <w:r>
              <w:rPr>
                <w:rFonts w:hint="eastAsia" w:ascii="宋体" w:hAnsi="宋体" w:cs="宋体"/>
                <w:b w:val="0"/>
                <w:bCs/>
                <w:color w:val="auto"/>
                <w:sz w:val="21"/>
                <w:szCs w:val="21"/>
                <w:highlight w:val="none"/>
                <w:u w:val="single"/>
                <w:lang w:val="en-US" w:eastAsia="zh-CN"/>
              </w:rPr>
              <w:t xml:space="preserve">（含）</w:t>
            </w:r>
            <w:r>
              <w:rPr>
                <w:rFonts w:hint="eastAsia" w:ascii="宋体" w:hAnsi="宋体" w:eastAsia="宋体" w:cs="宋体"/>
                <w:b w:val="0"/>
                <w:bCs/>
                <w:color w:val="auto"/>
                <w:sz w:val="21"/>
                <w:szCs w:val="21"/>
                <w:highlight w:val="none"/>
                <w:u w:val="single"/>
                <w:lang w:val="en-US" w:eastAsia="zh-CN"/>
              </w:rPr>
              <w:t xml:space="preserve">费率</w:t>
            </w:r>
            <w:r>
              <w:rPr>
                <w:rFonts w:hint="eastAsia" w:ascii="宋体" w:hAnsi="宋体" w:cs="宋体"/>
                <w:b w:val="0"/>
                <w:bCs/>
                <w:color w:val="auto"/>
                <w:sz w:val="21"/>
                <w:szCs w:val="21"/>
                <w:highlight w:val="none"/>
                <w:u w:val="single"/>
                <w:lang w:val="en-US" w:eastAsia="zh-CN"/>
              </w:rPr>
              <w:t xml:space="preserve">1.1</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如按上述方法计算的金额低于人民币3000元，则按人民币3000元计取</w:t>
            </w:r>
            <w:r>
              <w:rPr>
                <w:rFonts w:hint="eastAsia" w:ascii="宋体" w:hAnsi="宋体" w:cs="宋体"/>
                <w:b w:val="0"/>
                <w:bCs/>
                <w:color w:val="auto"/>
                <w:sz w:val="21"/>
                <w:szCs w:val="21"/>
                <w:highlight w:val="none"/>
                <w:u w:val="single"/>
                <w:lang w:val="en-US" w:eastAsia="zh-CN"/>
              </w:rPr>
              <w:t xml:space="preserve">。</w:t>
            </w:r>
            <w:r/>
          </w:p>
        </w:tc>
      </w:tr>
    </w:tbl>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shd w:val="clear" w:color="auto"/>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5.6信息安全产品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。关于信息安全相关规定依据《关于信息安全产品实施政府采购的通知》（财库〔2010〕48号）。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w:t>
      </w:r>
      <w:r>
        <w:rPr>
          <w:rFonts w:hint="eastAsia" w:ascii="宋体" w:hAnsi="宋体" w:eastAsia="宋体" w:cs="宋体"/>
          <w:color w:val="auto"/>
          <w:sz w:val="21"/>
          <w:szCs w:val="21"/>
          <w:highlight w:val="none"/>
          <w:lang w:val="en-US" w:eastAsia="zh-CN"/>
        </w:rPr>
        <w:t xml:space="preserve">货物和</w:t>
      </w:r>
      <w:r>
        <w:rPr>
          <w:rFonts w:hint="eastAsia" w:ascii="宋体" w:hAnsi="宋体" w:eastAsia="宋体" w:cs="宋体"/>
          <w:color w:val="auto"/>
          <w:sz w:val="21"/>
          <w:szCs w:val="21"/>
          <w:highlight w:val="none"/>
        </w:rPr>
        <w:t xml:space="preserve">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873"/>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873"/>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24.1.5平台系统出现序号18.8的所述情形，情况严重且影响采购活动公平、公正性的。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25.7如需收取履约保证金的，允许中标人自主选择以支票、汇票、本票、保函（保险）等非现金形式缴纳或提交履约保证金，按照苏财购〔2023〕150号、常财购〔2024〕15号等省市相关文件精神，鼓励优先采用电子履约保函（保险）形式。</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宋体"/>
          <w:b/>
          <w:color w:val="auto"/>
          <w:sz w:val="32"/>
          <w:szCs w:val="32"/>
          <w:highlight w:val="none"/>
        </w:rPr>
      </w:pPr>
      <w:r/>
      <w:bookmarkStart w:id="3" w:name="_Toc32565"/>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690"/>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77"/>
        <w:gridCol w:w="4799"/>
        <w:gridCol w:w="1575"/>
      </w:tblGrid>
      <w:tr>
        <w:trPr>
          <w:jc w:val="center"/>
          <w:trHeight w:val="468"/>
          <w:tblHeader/>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65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8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营业执照</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提供证明文件的复印件、电子件或电子证照，加盖投标人公章。</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提供了符合招标文件要求的《投标人资格声明函》。</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658"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联合体形式投标的，联合体成员存在不良信用记录，视同联合体存在不良信用记录。</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无须投标人提供，由采购人或采购代理机构现场查询。</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3014"/>
        </w:trPr>
        <w:tc>
          <w:tcPr>
            <w:tcW w:w="374" w:type="pct"/>
            <w:vAlign w:val="center"/>
            <w:textDirection w:val="lrTb"/>
            <w:noWrap w:val="false"/>
          </w:tcPr>
          <w:p>
            <w:pPr>
              <w:ind w:left="0" w:right="0"/>
              <w:jc w:val="center"/>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2-1</w:t>
            </w:r>
            <w:r/>
          </w:p>
        </w:tc>
        <w:tc>
          <w:tcPr>
            <w:tcW w:w="1094"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中小企业声明函</w:t>
            </w:r>
            <w:r/>
          </w:p>
        </w:tc>
        <w:tc>
          <w:tcPr>
            <w:tcW w:w="2658"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cs="宋体"/>
                <w:b/>
                <w:bCs w:val="0"/>
                <w:szCs w:val="21"/>
                <w:highlight w:val="none"/>
              </w:rPr>
              <w:suppressLineNumbers w:val="0"/>
            </w:pPr>
            <w:r>
              <w:rPr>
                <w:rFonts w:hint="eastAsia" w:ascii="宋体" w:hAnsi="宋体" w:cs="宋体"/>
                <w:b/>
                <w:bCs w:val="0"/>
                <w:szCs w:val="21"/>
                <w:highlight w:val="none"/>
                <w:lang w:eastAsia="zh-CN"/>
              </w:rPr>
              <w:t xml:space="preserve">如</w:t>
            </w:r>
            <w:r>
              <w:rPr>
                <w:rFonts w:hint="eastAsia" w:ascii="宋体" w:hAnsi="宋体" w:cs="宋体"/>
                <w:b/>
                <w:bCs w:val="0"/>
                <w:szCs w:val="21"/>
                <w:highlight w:val="none"/>
              </w:rPr>
              <w:t xml:space="preserve">本项目（包）专门面向中小企业采购，《资格证明文件》中</w:t>
            </w:r>
            <w:r>
              <w:rPr>
                <w:rFonts w:hint="eastAsia" w:ascii="宋体" w:hAnsi="宋体" w:cs="宋体"/>
                <w:b/>
                <w:bCs w:val="0"/>
                <w:szCs w:val="21"/>
                <w:highlight w:val="none"/>
                <w:lang w:val="en-US" w:eastAsia="zh-CN"/>
              </w:rPr>
              <w:t xml:space="preserve">必须</w:t>
            </w:r>
            <w:r>
              <w:rPr>
                <w:rFonts w:hint="eastAsia" w:ascii="宋体" w:hAnsi="宋体" w:cs="宋体"/>
                <w:b/>
                <w:bCs w:val="0"/>
                <w:szCs w:val="21"/>
                <w:highlight w:val="none"/>
              </w:rPr>
              <w:t xml:space="preserve">提供。</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u w:val="single"/>
                <w:lang w:val="en-US" w:eastAsia="zh-CN"/>
              </w:rPr>
              <w:suppressLineNumbers w:val="0"/>
            </w:pPr>
            <w:r>
              <w:rPr>
                <w:rFonts w:hint="eastAsia" w:ascii="宋体" w:hAnsi="宋体" w:cs="宋体"/>
                <w:bCs/>
                <w:szCs w:val="21"/>
                <w:highlight w:val="none"/>
              </w:rPr>
              <w:t xml:space="preserve">注2：残疾人福利性单位须按招标文件要求提供《残疾人福利性单位声明函》。</w:t>
            </w:r>
            <w:r/>
          </w:p>
        </w:tc>
        <w:tc>
          <w:tcPr>
            <w:tcW w:w="872"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lang w:eastAsia="zh-CN"/>
              </w:rPr>
              <w:suppressLineNumbers w:val="0"/>
            </w:pPr>
            <w:r>
              <w:rPr>
                <w:rFonts w:hint="eastAsia" w:ascii="宋体" w:hAnsi="宋体" w:cs="宋体"/>
                <w:szCs w:val="21"/>
                <w:highlight w:val="none"/>
              </w:rPr>
              <w:t xml:space="preserve">格式见《投标文件格式》</w:t>
            </w:r>
            <w:r/>
          </w:p>
        </w:tc>
      </w:tr>
      <w:tr>
        <w:trPr>
          <w:jc w:val="center"/>
          <w:trHeight w:val="90"/>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其它落实政府采购政策的资格要求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765"/>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624"/>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658" w:type="pct"/>
            <w:vAlign w:val="center"/>
            <w:textDirection w:val="lrTb"/>
            <w:noWrap w:val="false"/>
          </w:tcPr>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u w:val="none"/>
                <w:lang w:val="en-US" w:eastAsia="zh-CN"/>
              </w:rPr>
              <w:outlineLvl w:val="9"/>
              <w:suppressLineNumbers w:val="0"/>
            </w:pPr>
            <w:r>
              <w:rPr>
                <w:rFonts w:hint="default" w:ascii="宋体" w:hAnsi="宋体" w:cs="宋体"/>
                <w:sz w:val="21"/>
                <w:szCs w:val="21"/>
                <w:highlight w:val="none"/>
                <w:u w:val="single"/>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bl>
    <w:p>
      <w:pPr>
        <w:jc w:val="center"/>
        <w:spacing w:line="360" w:lineRule="auto"/>
        <w:shd w:val="clear" w:color="auto"/>
        <w:rPr>
          <w:rFonts w:hint="eastAsia" w:ascii="宋体" w:hAnsi="宋体" w:eastAsia="宋体" w:cs="宋体"/>
          <w:b/>
          <w:color w:val="auto"/>
          <w:sz w:val="32"/>
          <w:szCs w:val="32"/>
          <w:highlight w:val="none"/>
        </w:rPr>
        <w:outlineLvl w:val="9"/>
      </w:pPr>
      <w:r/>
      <w:bookmarkStart w:id="4" w:name="_Toc72"/>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spacing w:line="360" w:lineRule="auto"/>
        <w:shd w:val="clear" w:color="auto"/>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690"/>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376"/>
        <w:gridCol w:w="6231"/>
      </w:tblGrid>
      <w:tr>
        <w:trPr>
          <w:jc w:val="center"/>
          <w:trHeight w:val="567"/>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3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1700"/>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rPr>
                <w:rFonts w:hint="eastAsia" w:ascii="宋体" w:hAnsi="宋体" w:eastAsia="宋体" w:cs="宋体"/>
                <w:color w:val="auto"/>
                <w:sz w:val="21"/>
                <w:szCs w:val="21"/>
                <w:highlight w:val="none"/>
              </w:rPr>
              <w:t xml:space="preserve">和政府采购供应商信用承诺书</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按招标文件要求提供投标函、法定代表人资格证明书、授权委托书和政府采购供应商信用承诺书；</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投标报价未超过招标文件中规定的项目/采购包预算金额或者项目/采购包最高限价；</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投标文件未出现可选择性或可调整的报价（招标文件另有规定的除外）；</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★号条款响应</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投标文件满足招标文件第五章《采购需求》中★号条款要求的；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9</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10</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报价的修正（如有）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12</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color w:val="auto"/>
                <w:sz w:val="21"/>
                <w:szCs w:val="21"/>
                <w:highlight w:val="none"/>
              </w:rPr>
              <w:t xml:space="preserve">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color w:val="auto"/>
                <w:sz w:val="21"/>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2）投标产品如涉及计算机信息系统安全专用产品的，须提供公安部颁发的计算机信息系统安全专用产品销售许可证；</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（一）不同投标人的投标文件由同一单位或者个人编制；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（二）不同投标人委托同一单位或者个人办理投标事宜（包含使用同一MAC地址的计算机提交或者解密电子响应文件的情形）；（三）不同投标人的投标文件载明的项目管理成员或者联系人员为同一人；</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（四）不同投标人的投标文件异常一致或者投标报价呈规律性差异；</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（五）不同投标人的投标文件相互混装；</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（六）不同投标人的投标保证金从同一单位或者个人的账户转出；</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92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690"/>
        <w:tblW w:w="5822" w:type="pct"/>
        <w:jc w:val="center"/>
        <w:tblLayout w:type="autofit"/>
        <w:tblCellMar>
          <w:left w:w="0" w:type="dxa"/>
          <w:top w:w="0" w:type="dxa"/>
          <w:right w:w="0" w:type="dxa"/>
          <w:bottom w:w="0" w:type="dxa"/>
        </w:tblCellMar>
        <w:tblLook w:val="04A0" w:firstRow="1" w:lastRow="0" w:firstColumn="1" w:lastColumn="0" w:noHBand="0" w:noVBand="1"/>
      </w:tblPr>
      <w:tblGrid>
        <w:gridCol w:w="696"/>
        <w:gridCol w:w="1137"/>
        <w:gridCol w:w="6031"/>
        <w:gridCol w:w="941"/>
        <w:gridCol w:w="890"/>
      </w:tblGrid>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最低分值</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最高分值</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rPr>
              <w:t xml:space="preserve">采用低价优先法，即满足招标文件要求且投标价格最低的投标报价作为评标基准价，其价格分为满分。其他投标人的价格分统一按照下列公式计算：投标报价得分=(评标基准价/投标报价)×</w:t>
            </w:r>
            <w:r>
              <w:rPr>
                <w:rFonts w:hint="eastAsia" w:ascii="宋体" w:hAnsi="宋体" w:eastAsia="宋体" w:cs="宋体"/>
                <w:bCs/>
                <w:sz w:val="21"/>
                <w:szCs w:val="21"/>
                <w:highlight w:val="none"/>
                <w:lang w:val="en-US" w:eastAsia="zh-CN"/>
              </w:rPr>
              <w:t xml:space="preserve">60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60</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最低分值</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最高分值</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20</w:t>
            </w:r>
            <w:r/>
          </w:p>
        </w:tc>
      </w:tr>
      <w:tr>
        <w:trPr>
          <w:jc w:val="center"/>
          <w:trHeight w:val="2043"/>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项目实施进度计划</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项目实施进度计划安排：根据投标人提供的针对本项目的进度安排、施工方案及质量保证措施、安全文明安装及环境保护措施、劳动力、机械设备和材料投入计划等进行评分。方案完整全面、与本项目实际情况实际完全相符，完全满足采购需求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分；方案完整不够全面、与本项目实际情况实际基本相符，基本满足采购需求的得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分；方案缺失不完整、与本项目实际情况实际不完全相符，方案针对性不强的得1分；未提供不得分。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w:t>
            </w:r>
            <w:r/>
          </w:p>
        </w:tc>
      </w:tr>
      <w:tr>
        <w:trPr>
          <w:jc w:val="center"/>
          <w:trHeight w:val="2152"/>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安装方案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投标人提供的安装施工方案及成品保护措施、安全文明施工措施等：方案完整全面、与本项目实际情况完全相符，完全满足采购需求的得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分；方案完整不够全面、与本项目实际情况基本相符，基本满足采购需求的得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分；方案缺失不完整、与本项目实际情况不完全相符，方案针对性不强的得1分；未提供不得分。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3</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投标人提供的售后服务方案（如服务内容、解决方案、响应时间、专业技术人员保障等）：方案合理完善、内容详实具体、对可能出现的问题给出的应对方法可实施性强，得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分；方案较合理完善、内容较详实、对可能出现的问题给出的应对方法可实施性较强，得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分；有方案，但无针对性或针对性不强得 </w:t>
            </w:r>
            <w:r>
              <w:rPr>
                <w:rFonts w:hint="eastAsia" w:ascii="宋体" w:hAnsi="宋体" w:eastAsia="宋体" w:cs="宋体"/>
                <w:bCs/>
                <w:sz w:val="21"/>
                <w:szCs w:val="21"/>
                <w:highlight w:val="none"/>
                <w:lang w:val="en-US" w:eastAsia="zh-CN"/>
              </w:rPr>
              <w:t xml:space="preserve">0.5</w:t>
            </w:r>
            <w:r>
              <w:rPr>
                <w:rFonts w:hint="eastAsia" w:ascii="宋体" w:hAnsi="宋体" w:eastAsia="宋体" w:cs="宋体"/>
                <w:bCs/>
                <w:sz w:val="21"/>
                <w:szCs w:val="21"/>
                <w:highlight w:val="none"/>
              </w:rPr>
              <w:t xml:space="preserve">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3141"/>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样品</w:t>
            </w:r>
            <w:r>
              <w:rPr>
                <w:rFonts w:hint="eastAsia" w:ascii="宋体" w:hAnsi="宋体" w:eastAsia="宋体" w:cs="宋体"/>
                <w:b/>
                <w:bCs/>
                <w:sz w:val="21"/>
                <w:szCs w:val="21"/>
                <w:highlight w:val="none"/>
                <w:lang w:val="en-US" w:eastAsia="zh-CN"/>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4人位餐桌（清单序号1）</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材质/规格（</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分）：样品选材、规格尺寸完全符合技术参数要求的得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款式/功能（</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分）：样品实用功能完全符合技术参数要求的得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Cs/>
                <w:sz w:val="21"/>
                <w:szCs w:val="21"/>
                <w:highlight w:val="none"/>
              </w:rPr>
              <w:t xml:space="preserve">工艺/结构（</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分）：样品工艺精细、结构结实耐用完全符合技术参数要求的得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6</w:t>
            </w:r>
            <w:r/>
          </w:p>
        </w:tc>
      </w:tr>
      <w:tr>
        <w:trPr>
          <w:jc w:val="center"/>
          <w:trHeight w:val="3235"/>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样品</w:t>
            </w:r>
            <w:r>
              <w:rPr>
                <w:rFonts w:hint="eastAsia" w:ascii="宋体" w:hAnsi="宋体" w:eastAsia="宋体" w:cs="宋体"/>
                <w:b/>
                <w:bCs/>
                <w:sz w:val="21"/>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课桌（清单序号14）</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材质/规格（</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分）：样品选材、规格尺寸完全符合技术参数要求的得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款式/功能（</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分）：样品实用功能完全符合技术参数要求的得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Cs/>
                <w:sz w:val="21"/>
                <w:szCs w:val="21"/>
                <w:highlight w:val="none"/>
              </w:rPr>
              <w:t xml:space="preserve">工艺/结构（</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分）：样品工艺精细、结构结实耐用完全符合技术参数要求的得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6</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20</w:t>
            </w:r>
            <w:r/>
          </w:p>
        </w:tc>
      </w:tr>
      <w:tr>
        <w:trPr>
          <w:jc w:val="center"/>
          <w:trHeight w:val="35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rPr>
              <w:suppressLineNumbers w:val="0"/>
            </w:pPr>
            <w:r>
              <w:rPr>
                <w:rFonts w:hint="eastAsia" w:ascii="宋体" w:hAnsi="宋体" w:eastAsia="宋体" w:cs="宋体"/>
                <w:b/>
                <w:bCs/>
                <w:sz w:val="21"/>
                <w:szCs w:val="21"/>
                <w:highlight w:val="none"/>
              </w:rPr>
              <w:t xml:space="preserve">PVC封边条检测报告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投标人或所投产品制造商提供所投产品的基材</w:t>
            </w:r>
            <w:r>
              <w:rPr>
                <w:rFonts w:hint="eastAsia" w:ascii="宋体" w:hAnsi="宋体" w:eastAsia="宋体" w:cs="宋体"/>
                <w:b/>
                <w:bCs w:val="0"/>
                <w:sz w:val="21"/>
                <w:szCs w:val="21"/>
                <w:highlight w:val="none"/>
              </w:rPr>
              <w:t xml:space="preserve">PVC封边条</w:t>
            </w:r>
            <w:r>
              <w:rPr>
                <w:rFonts w:hint="eastAsia" w:ascii="宋体" w:hAnsi="宋体" w:eastAsia="宋体" w:cs="宋体"/>
                <w:bCs/>
                <w:sz w:val="21"/>
                <w:szCs w:val="21"/>
                <w:highlight w:val="none"/>
              </w:rPr>
              <w:t xml:space="preserve">的</w:t>
            </w:r>
            <w:r>
              <w:rPr>
                <w:rFonts w:hint="eastAsia" w:ascii="宋体" w:hAnsi="宋体" w:eastAsia="宋体" w:cs="宋体"/>
                <w:sz w:val="21"/>
                <w:szCs w:val="21"/>
                <w:highlight w:val="none"/>
              </w:rPr>
              <w:t xml:space="preserve">检测报告</w:t>
            </w:r>
            <w:r>
              <w:rPr>
                <w:rFonts w:hint="eastAsia" w:ascii="宋体" w:hAnsi="宋体" w:eastAsia="宋体" w:cs="宋体"/>
                <w:b/>
                <w:bCs/>
                <w:sz w:val="21"/>
                <w:szCs w:val="21"/>
                <w:highlight w:val="none"/>
              </w:rPr>
              <w:t xml:space="preserve">，</w:t>
            </w:r>
            <w:r>
              <w:rPr>
                <w:rFonts w:hint="eastAsia" w:ascii="宋体" w:hAnsi="宋体" w:eastAsia="宋体" w:cs="宋体"/>
                <w:bCs/>
                <w:sz w:val="21"/>
                <w:szCs w:val="21"/>
                <w:highlight w:val="none"/>
              </w:rPr>
              <w:t xml:space="preserve">符合以下要求：</w:t>
            </w:r>
            <w:r/>
          </w:p>
          <w:p>
            <w:pPr>
              <w:pStyle w:val="680"/>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①QB/T4463-2025《家具用封边条技术要求》中包含：耐干热性、耐磨性、甲醛释放量、可迁移元素；</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铝合金</w:t>
            </w:r>
            <w:r>
              <w:rPr>
                <w:rFonts w:hint="eastAsia" w:ascii="宋体" w:hAnsi="宋体" w:eastAsia="宋体" w:cs="宋体"/>
                <w:b/>
                <w:bCs/>
                <w:sz w:val="21"/>
                <w:szCs w:val="21"/>
                <w:highlight w:val="none"/>
              </w:rPr>
              <w:t xml:space="preserve">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投标人或所投产品制造商提供所投产品中用到的基材的检测报告：</w:t>
            </w:r>
            <w:r>
              <w:rPr>
                <w:rFonts w:hint="eastAsia" w:ascii="宋体" w:hAnsi="宋体" w:eastAsia="宋体" w:cs="宋体"/>
                <w:b/>
                <w:bCs/>
                <w:sz w:val="21"/>
                <w:szCs w:val="21"/>
                <w:highlight w:val="none"/>
              </w:rPr>
              <w:t xml:space="preserve">铝合金</w:t>
            </w:r>
            <w:r>
              <w:rPr>
                <w:rFonts w:hint="eastAsia" w:ascii="宋体" w:hAnsi="宋体" w:eastAsia="宋体" w:cs="宋体"/>
                <w:sz w:val="21"/>
                <w:szCs w:val="21"/>
                <w:highlight w:val="none"/>
              </w:rPr>
              <w:t xml:space="preserve">符合以下要求：</w:t>
            </w:r>
            <w:r/>
          </w:p>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①QB/T 4767-2014：外观：铝合金部件；铝合金部件理化性能：抗盐雾。</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sz w:val="21"/>
                <w:szCs w:val="21"/>
                <w:highlight w:val="none"/>
              </w:rPr>
              <w:t xml:space="preserve">塑料件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投标人或所投产品制造商提供所投产品中用到的基材的检测报告：</w:t>
            </w:r>
            <w:r>
              <w:rPr>
                <w:rFonts w:hint="eastAsia" w:ascii="宋体" w:hAnsi="宋体" w:eastAsia="宋体" w:cs="宋体"/>
                <w:b/>
                <w:sz w:val="21"/>
                <w:szCs w:val="21"/>
                <w:highlight w:val="none"/>
              </w:rPr>
              <w:t xml:space="preserve">塑料件</w:t>
            </w:r>
            <w:r>
              <w:rPr>
                <w:rFonts w:hint="eastAsia" w:ascii="宋体" w:hAnsi="宋体" w:eastAsia="宋体" w:cs="宋体"/>
                <w:sz w:val="21"/>
                <w:szCs w:val="21"/>
                <w:highlight w:val="none"/>
              </w:rPr>
              <w:t xml:space="preserve">符合以下要求：</w:t>
            </w:r>
            <w:r/>
          </w:p>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w:t>
            </w:r>
            <w:bookmarkStart w:id="5" w:name="OLE_LINK9"/>
            <w:r>
              <w:rPr>
                <w:rFonts w:hint="eastAsia" w:ascii="宋体" w:hAnsi="宋体" w:eastAsia="宋体" w:cs="宋体"/>
                <w:spacing w:val="10"/>
                <w:sz w:val="21"/>
                <w:szCs w:val="21"/>
                <w:highlight w:val="none"/>
              </w:rPr>
              <w:t xml:space="preserve">GB/T 32487-2016</w:t>
            </w:r>
            <w:bookmarkEnd w:id="5"/>
            <w:r>
              <w:rPr>
                <w:rFonts w:hint="eastAsia" w:ascii="宋体" w:hAnsi="宋体" w:eastAsia="宋体" w:cs="宋体"/>
                <w:sz w:val="21"/>
                <w:szCs w:val="21"/>
                <w:highlight w:val="none"/>
              </w:rPr>
              <w:t xml:space="preserve">:塑料材料理化性能（冲击强度）；塑料件理化性能（耐冷热循环、硬度）。</w:t>
            </w:r>
            <w:r/>
          </w:p>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pacing w:val="10"/>
                <w:sz w:val="21"/>
                <w:szCs w:val="21"/>
                <w:highlight w:val="none"/>
              </w:rPr>
              <w:t xml:space="preserve">②</w:t>
            </w:r>
            <w:r>
              <w:rPr>
                <w:rFonts w:hint="eastAsia" w:ascii="宋体" w:hAnsi="宋体" w:eastAsia="宋体" w:cs="宋体"/>
                <w:sz w:val="21"/>
                <w:szCs w:val="21"/>
                <w:highlight w:val="none"/>
              </w:rPr>
              <w:t xml:space="preserve"> </w:t>
            </w:r>
            <w:r>
              <w:rPr>
                <w:rFonts w:hint="eastAsia" w:ascii="宋体" w:hAnsi="宋体" w:eastAsia="宋体" w:cs="宋体"/>
                <w:spacing w:val="10"/>
                <w:sz w:val="21"/>
                <w:szCs w:val="21"/>
                <w:highlight w:val="none"/>
              </w:rPr>
              <w:t xml:space="preserve">GB/T 35607-2024：产品有害物质（多环芳烃-</w:t>
            </w:r>
            <w:r>
              <w:rPr>
                <w:rFonts w:hint="eastAsia" w:ascii="宋体" w:hAnsi="宋体" w:eastAsia="宋体" w:cs="宋体"/>
                <w:spacing w:val="10"/>
                <w:sz w:val="21"/>
                <w:szCs w:val="21"/>
                <w:highlight w:val="none"/>
                <w:lang w:val="en-US" w:eastAsia="zh-CN"/>
              </w:rPr>
              <w:t xml:space="preserve">苯</w:t>
            </w:r>
            <w:r>
              <w:rPr>
                <w:rFonts w:hint="eastAsia" w:ascii="宋体" w:hAnsi="宋体" w:eastAsia="宋体" w:cs="宋体"/>
                <w:spacing w:val="10"/>
                <w:sz w:val="21"/>
                <w:szCs w:val="21"/>
                <w:highlight w:val="none"/>
              </w:rPr>
              <w:t xml:space="preserve">并</w:t>
            </w:r>
            <w:r>
              <w:rPr>
                <w:rFonts w:hint="eastAsia" w:ascii="宋体" w:hAnsi="宋体" w:eastAsia="宋体" w:cs="宋体"/>
                <w:b w:val="0"/>
                <w:bCs w:val="0"/>
                <w:spacing w:val="10"/>
                <w:sz w:val="21"/>
                <w:szCs w:val="21"/>
                <w:highlight w:val="none"/>
              </w:rPr>
              <w:t xml:space="preserve">【a】</w:t>
            </w:r>
            <w:r>
              <w:rPr>
                <w:rFonts w:hint="eastAsia" w:ascii="宋体" w:hAnsi="宋体" w:eastAsia="宋体" w:cs="宋体"/>
                <w:spacing w:val="10"/>
                <w:sz w:val="21"/>
                <w:szCs w:val="21"/>
                <w:highlight w:val="none"/>
              </w:rPr>
              <w:t xml:space="preserve">芘）</w:t>
            </w:r>
            <w:r>
              <w:rPr>
                <w:rFonts w:hint="eastAsia" w:ascii="宋体" w:hAnsi="宋体" w:eastAsia="宋体" w:cs="宋体"/>
                <w:sz w:val="21"/>
                <w:szCs w:val="21"/>
                <w:highlight w:val="none"/>
              </w:rPr>
              <w:t xml:space="preserve"> </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sz w:val="21"/>
                <w:szCs w:val="21"/>
                <w:highlight w:val="none"/>
              </w:rPr>
              <w:t xml:space="preserve">冷轧钢板</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投标人或所投产品制造商提供所投产品中用到的基材的检测报告：</w:t>
            </w:r>
            <w:r>
              <w:rPr>
                <w:rFonts w:hint="eastAsia" w:ascii="宋体" w:hAnsi="宋体" w:eastAsia="宋体" w:cs="宋体"/>
                <w:b/>
                <w:sz w:val="21"/>
                <w:szCs w:val="21"/>
                <w:highlight w:val="none"/>
              </w:rPr>
              <w:t xml:space="preserve">冷轧钢板</w:t>
            </w:r>
            <w:r>
              <w:rPr>
                <w:rFonts w:hint="eastAsia" w:ascii="宋体" w:hAnsi="宋体" w:eastAsia="宋体" w:cs="宋体"/>
                <w:sz w:val="21"/>
                <w:szCs w:val="21"/>
                <w:highlight w:val="none"/>
              </w:rPr>
              <w:t xml:space="preserve">符合以下要求：</w:t>
            </w:r>
            <w:r/>
          </w:p>
          <w:p>
            <w:pPr>
              <w:pStyle w:val="875"/>
              <w:ind w:left="0" w:right="0"/>
              <w:jc w:val="left"/>
              <w:keepLines w:val="0"/>
              <w:keepNext w:val="0"/>
              <w:spacing w:before="0" w:beforeAutospacing="0" w:after="0" w:afterAutospacing="0" w:line="280" w:lineRule="exact"/>
              <w:tabs>
                <w:tab w:val="left" w:pos="312"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①QB/T4767-2014：外观：喷涂件；理化性能金属喷涂层：涂层厚度。</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rPr>
              <w:t xml:space="preserve">办公桌</w:t>
            </w:r>
            <w:r>
              <w:rPr>
                <w:rFonts w:hint="eastAsia" w:ascii="宋体" w:hAnsi="宋体" w:eastAsia="宋体" w:cs="宋体"/>
                <w:b/>
                <w:bCs/>
                <w:sz w:val="21"/>
                <w:szCs w:val="21"/>
                <w:highlight w:val="none"/>
              </w:rPr>
              <w:t xml:space="preserve">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投标人或所投产品制造商提供所投产品</w:t>
            </w:r>
            <w:r>
              <w:rPr>
                <w:rFonts w:hint="eastAsia" w:ascii="宋体" w:hAnsi="宋体" w:eastAsia="宋体" w:cs="宋体"/>
                <w:b/>
                <w:bCs w:val="0"/>
                <w:sz w:val="21"/>
                <w:szCs w:val="21"/>
                <w:highlight w:val="none"/>
              </w:rPr>
              <w:t xml:space="preserve">办公桌</w:t>
            </w:r>
            <w:r>
              <w:rPr>
                <w:rFonts w:hint="eastAsia" w:ascii="宋体" w:hAnsi="宋体" w:eastAsia="宋体" w:cs="宋体"/>
                <w:bCs/>
                <w:sz w:val="21"/>
                <w:szCs w:val="21"/>
                <w:highlight w:val="none"/>
              </w:rPr>
              <w:t xml:space="preserve">的检测报告</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符合以下要求：</w:t>
            </w:r>
            <w:r/>
          </w:p>
          <w:p>
            <w:pPr>
              <w:pStyle w:val="680"/>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①GB/T 3324-2024《木家具通用技术条件》、GB/T 35607-2024《绿色产品评价 家具》中包含：</w:t>
            </w:r>
            <w:r/>
          </w:p>
          <w:p>
            <w:pPr>
              <w:pStyle w:val="680"/>
              <w:numPr>
                <w:ilvl w:val="0"/>
                <w:numId w:val="1"/>
              </w:numPr>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木制件表面理化性能：软、硬质覆面；</w:t>
            </w:r>
            <w:r/>
          </w:p>
          <w:p>
            <w:pPr>
              <w:pStyle w:val="680"/>
              <w:numPr>
                <w:ilvl w:val="0"/>
                <w:numId w:val="1"/>
              </w:numPr>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sz w:val="21"/>
                <w:szCs w:val="21"/>
                <w:highlight w:val="none"/>
                <w:lang w:val="en-US" w:eastAsia="zh-CN" w:bidi="ar-SA"/>
              </w:rPr>
              <w:t xml:space="preserve">力学性能：桌类强度和耐久性；</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4）产品寿命：桌</w:t>
            </w:r>
            <w:r>
              <w:rPr>
                <w:rFonts w:hint="eastAsia" w:ascii="宋体" w:hAnsi="宋体" w:cs="宋体"/>
                <w:b w:val="0"/>
                <w:bCs/>
                <w:sz w:val="21"/>
                <w:szCs w:val="21"/>
                <w:highlight w:val="none"/>
                <w:lang w:val="en-US" w:eastAsia="zh-CN" w:bidi="ar-SA"/>
              </w:rPr>
              <w:t xml:space="preserve">面</w:t>
            </w:r>
            <w:r>
              <w:rPr>
                <w:rFonts w:hint="eastAsia" w:ascii="宋体" w:hAnsi="宋体" w:eastAsia="宋体" w:cs="宋体"/>
                <w:b w:val="0"/>
                <w:bCs/>
                <w:sz w:val="21"/>
                <w:szCs w:val="21"/>
                <w:highlight w:val="none"/>
                <w:lang w:val="en-US" w:eastAsia="zh-CN" w:bidi="ar-SA"/>
              </w:rPr>
              <w:t xml:space="preserve">水平耐久性；</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办公椅检测报告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pStyle w:val="680"/>
              <w:ind w:left="0" w:right="0" w:firstLine="0"/>
              <w:jc w:val="left"/>
              <w:keepLines w:val="0"/>
              <w:keepNext w:val="0"/>
              <w:spacing w:before="0" w:beforeAutospacing="0" w:after="0" w:afterAutospacing="0" w:line="360" w:lineRule="atLeast"/>
              <w:shd w:val="clear" w:color="auto" w:fill="ffffff"/>
              <w:widowControl/>
              <w:rPr>
                <w:rFonts w:hint="eastAsia" w:ascii="宋体" w:hAnsi="宋体" w:eastAsia="宋体" w:cs="宋体"/>
                <w:b w:val="0"/>
                <w:bCs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rPr>
              <w:t xml:space="preserve">投标人或所投产品制造商提供所投产品</w:t>
            </w:r>
            <w:r>
              <w:rPr>
                <w:rFonts w:hint="eastAsia" w:ascii="宋体" w:hAnsi="宋体" w:eastAsia="宋体" w:cs="宋体"/>
                <w:b/>
                <w:bCs w:val="0"/>
                <w:sz w:val="21"/>
                <w:szCs w:val="21"/>
                <w:highlight w:val="none"/>
                <w:lang w:val="en-US" w:eastAsia="zh-CN"/>
              </w:rPr>
              <w:t xml:space="preserve">办公椅</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检测报告</w:t>
            </w:r>
            <w:r>
              <w:rPr>
                <w:rFonts w:hint="eastAsia" w:ascii="宋体" w:hAnsi="宋体" w:eastAsia="宋体" w:cs="宋体"/>
                <w:bCs/>
                <w:sz w:val="21"/>
                <w:szCs w:val="21"/>
                <w:highlight w:val="none"/>
                <w:lang w:eastAsia="zh-CN"/>
              </w:rPr>
              <w:t xml:space="preserve">，</w:t>
            </w:r>
            <w:r>
              <w:rPr>
                <w:rFonts w:hint="eastAsia" w:ascii="宋体" w:hAnsi="宋体" w:eastAsia="宋体" w:cs="宋体"/>
                <w:b w:val="0"/>
                <w:bCs w:val="0"/>
                <w:sz w:val="21"/>
                <w:szCs w:val="21"/>
                <w:highlight w:val="none"/>
              </w:rPr>
              <w:t xml:space="preserve">符合以下要求：</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①QB T2280-2016《办公家具 办公椅》、GB/T 35607-2024《绿色产品评价 家具》：</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1）外观：塑料件外观，软、硬包件外观，金属件外观；       </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2）理化性能：金属件涂层（耐盐雾）；  </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 </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4）产品寿命：椅座椅背耐久性、扶手耐久性；                                                       </w:t>
            </w:r>
            <w:r>
              <w:rPr>
                <w:rFonts w:hint="eastAsia" w:ascii="宋体" w:hAnsi="宋体" w:eastAsia="宋体" w:cs="宋体"/>
                <w:sz w:val="21"/>
                <w:szCs w:val="21"/>
                <w:highlight w:val="none"/>
                <w:lang w:val="en-US" w:eastAsia="zh-CN"/>
              </w:rPr>
              <w:t xml:space="preserve">检测内容需在同一份检测报告内体现，</w:t>
            </w:r>
            <w:r>
              <w:rPr>
                <w:rFonts w:hint="eastAsia" w:ascii="宋体" w:hAnsi="宋体" w:eastAsia="宋体" w:cs="宋体"/>
                <w:b w:val="0"/>
                <w:bCs/>
                <w:sz w:val="21"/>
                <w:szCs w:val="21"/>
                <w:highlight w:val="none"/>
                <w:lang w:val="en-US" w:eastAsia="zh-CN" w:bidi="ar-SA"/>
              </w:rPr>
              <w:t xml:space="preserve">结果合格且全部满足得2分，缺项或未提供不得分。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10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文件柜检测报告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投标人或所投产品制造商提供所投产品</w:t>
            </w:r>
            <w:r>
              <w:rPr>
                <w:rFonts w:hint="eastAsia" w:ascii="宋体" w:hAnsi="宋体" w:eastAsia="宋体" w:cs="宋体"/>
                <w:b w:val="0"/>
                <w:bCs/>
                <w:sz w:val="21"/>
                <w:szCs w:val="21"/>
                <w:highlight w:val="none"/>
                <w:lang w:val="en-US" w:eastAsia="zh-CN"/>
              </w:rPr>
              <w:t xml:space="preserve">文件柜</w:t>
            </w:r>
            <w:r>
              <w:rPr>
                <w:rFonts w:hint="eastAsia" w:ascii="宋体" w:hAnsi="宋体" w:eastAsia="宋体" w:cs="宋体"/>
                <w:bCs/>
                <w:sz w:val="21"/>
                <w:szCs w:val="21"/>
                <w:highlight w:val="none"/>
              </w:rPr>
              <w:t xml:space="preserve">的检测报告</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符合以下要求：</w:t>
            </w:r>
            <w:r/>
          </w:p>
          <w:p>
            <w:pPr>
              <w:pStyle w:val="680"/>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①GB/T 3324-2024《木家具通用技术条件》、GB/T 35607-2024《绿色产品评价 家具》中包含：</w:t>
            </w:r>
            <w:r/>
          </w:p>
          <w:p>
            <w:pPr>
              <w:pStyle w:val="680"/>
              <w:numPr>
                <w:ilvl w:val="0"/>
                <w:numId w:val="0"/>
              </w:numPr>
              <w:ind w:left="0" w:right="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sz w:val="21"/>
                <w:szCs w:val="21"/>
                <w:highlight w:val="none"/>
                <w:lang w:val="en-US" w:eastAsia="zh-CN" w:bidi="ar-SA"/>
              </w:rPr>
              <w:t xml:space="preserve">1）木制件表面理化性能：软、硬质覆面；</w:t>
            </w:r>
            <w:r/>
          </w:p>
          <w:p>
            <w:pPr>
              <w:pStyle w:val="680"/>
              <w:numPr>
                <w:ilvl w:val="0"/>
                <w:numId w:val="0"/>
              </w:numPr>
              <w:ind w:left="0" w:right="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sz w:val="21"/>
                <w:szCs w:val="21"/>
                <w:highlight w:val="none"/>
                <w:lang w:val="en-US" w:eastAsia="zh-CN" w:bidi="ar-SA"/>
              </w:rPr>
              <w:t xml:space="preserve">2）力学性能：柜架类强度和耐久性；</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4）产品寿命：</w:t>
            </w:r>
            <w:r>
              <w:rPr>
                <w:rFonts w:hint="eastAsia" w:ascii="宋体" w:hAnsi="宋体" w:cs="宋体"/>
                <w:b w:val="0"/>
                <w:bCs/>
                <w:sz w:val="21"/>
                <w:szCs w:val="21"/>
                <w:highlight w:val="none"/>
                <w:lang w:val="en-US" w:eastAsia="zh-CN" w:bidi="ar-SA"/>
              </w:rPr>
              <w:t xml:space="preserve">拉</w:t>
            </w:r>
            <w:r>
              <w:rPr>
                <w:rFonts w:hint="eastAsia" w:ascii="宋体" w:hAnsi="宋体" w:eastAsia="宋体" w:cs="宋体"/>
                <w:b w:val="0"/>
                <w:bCs/>
                <w:sz w:val="21"/>
                <w:szCs w:val="21"/>
                <w:highlight w:val="none"/>
                <w:lang w:val="en-US" w:eastAsia="zh-CN" w:bidi="ar-SA"/>
              </w:rPr>
              <w:t xml:space="preserve">门耐久性；</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9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投标人提供自202</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月1日至开标日期以来的</w:t>
            </w:r>
            <w:r>
              <w:rPr>
                <w:rFonts w:hint="eastAsia" w:ascii="宋体" w:hAnsi="宋体" w:eastAsia="宋体" w:cs="宋体"/>
                <w:bCs/>
                <w:sz w:val="21"/>
                <w:szCs w:val="21"/>
                <w:highlight w:val="none"/>
              </w:rPr>
              <w:t xml:space="preserve">（以合同签订时间为准）家具业绩，每提供一个得</w:t>
            </w:r>
            <w:r>
              <w:rPr>
                <w:rFonts w:hint="eastAsia" w:ascii="宋体" w:hAnsi="宋体" w:cs="宋体"/>
                <w:bCs/>
                <w:sz w:val="21"/>
                <w:szCs w:val="21"/>
                <w:highlight w:val="none"/>
                <w:lang w:val="en-US" w:eastAsia="zh-CN"/>
              </w:rPr>
              <w:t xml:space="preserve">0.5</w:t>
            </w:r>
            <w:r>
              <w:rPr>
                <w:rFonts w:hint="eastAsia" w:ascii="宋体" w:hAnsi="宋体" w:eastAsia="宋体" w:cs="宋体"/>
                <w:bCs/>
                <w:sz w:val="21"/>
                <w:szCs w:val="21"/>
                <w:highlight w:val="none"/>
              </w:rPr>
              <w:t xml:space="preserve">分，最高得</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p>
            <w:pPr>
              <w:pStyle w:val="694"/>
              <w:ind w:left="0" w:right="0"/>
              <w:keepLines w:val="0"/>
              <w:keepNext w:val="0"/>
              <w:spacing w:before="0" w:beforeAutospacing="0" w:after="0" w:afterAutospacing="0"/>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：提供完整合同件、中标（成交）通知书和验收证明的扫描件并加盖投标人公章，未按要求提供或未提供的不得分，中标单位在中标结果公示后3个工作日内提供原件由采购人核查。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cs="宋体"/>
                <w:b/>
                <w:bCs/>
                <w:sz w:val="21"/>
                <w:szCs w:val="21"/>
                <w:highlight w:val="none"/>
                <w:lang w:val="en-US" w:eastAsia="zh-CN"/>
              </w:rPr>
              <w:t xml:space="preserve">2</w:t>
            </w:r>
            <w:r/>
          </w:p>
        </w:tc>
      </w:tr>
      <w:tr>
        <w:trPr>
          <w:jc w:val="center"/>
          <w:trHeight w:val="2682"/>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企业资质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numPr>
                <w:ilvl w:val="0"/>
                <w:numId w:val="2"/>
              </w:numPr>
              <w:ind w:left="0" w:right="0"/>
              <w:jc w:val="left"/>
              <w:keepLines w:val="0"/>
              <w:keepNext w:val="0"/>
              <w:spacing w:before="0" w:beforeAutospacing="0" w:after="0" w:afterAutospacing="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rPr>
              <w:t xml:space="preserve">投标人具有有效的质量管理体系认证证书、环境管理体系认证证书、职业健康安全管理体系认证证书</w:t>
            </w:r>
            <w:r>
              <w:rPr>
                <w:rFonts w:hint="eastAsia" w:ascii="宋体" w:hAnsi="宋体" w:eastAsia="宋体" w:cs="宋体"/>
                <w:bCs/>
                <w:sz w:val="21"/>
                <w:szCs w:val="21"/>
                <w:highlight w:val="none"/>
                <w:lang w:val="en-US" w:eastAsia="zh-CN"/>
              </w:rPr>
              <w:t xml:space="preserve">的得1分，未提供不得分。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、投标人或产品制造商具有有效的中国环境标志产品认证证书</w:t>
            </w:r>
            <w:r>
              <w:rPr>
                <w:rFonts w:hint="eastAsia" w:ascii="宋体" w:hAnsi="宋体" w:eastAsia="宋体" w:cs="宋体"/>
                <w:sz w:val="21"/>
                <w:szCs w:val="21"/>
                <w:highlight w:val="none"/>
              </w:rPr>
              <w:t xml:space="preserve">（十环），认证范围包含家具的</w:t>
            </w:r>
            <w:r>
              <w:rPr>
                <w:rFonts w:hint="eastAsia" w:ascii="宋体" w:hAnsi="宋体" w:eastAsia="宋体" w:cs="宋体"/>
                <w:bCs/>
                <w:sz w:val="21"/>
                <w:szCs w:val="21"/>
                <w:highlight w:val="none"/>
              </w:rPr>
              <w:t xml:space="preserve">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分，未提供不得分。</w:t>
            </w:r>
            <w:r/>
          </w:p>
          <w:p>
            <w:pPr>
              <w:pStyle w:val="694"/>
              <w:ind w:left="0" w:right="0"/>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、投标人或产品制造商具有有效的中国环保认证产品认证证书（CQC）），认证范围包含家具的得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：提供国家确定的认证机构出具的、处于有效期之内的认证证书扫描件并加盖投标人公章。中标单位在中标结果公示后3个工作日内提供原件交采购人核查。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3</w:t>
            </w:r>
            <w:r/>
          </w:p>
        </w:tc>
      </w:tr>
      <w:tr>
        <w:trPr>
          <w:jc w:val="center"/>
          <w:trHeight w:val="100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延保承诺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投标人在满足</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年基本质保期的基础上，每延长一年免费质保得</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：提供承诺函加盖投标人公章，格式自拟。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cs="宋体"/>
                <w:b/>
                <w:bCs/>
                <w:sz w:val="21"/>
                <w:szCs w:val="21"/>
                <w:highlight w:val="none"/>
                <w:lang w:val="en-US" w:eastAsia="zh-CN"/>
              </w:rPr>
              <w:t xml:space="preserve">1</w:t>
            </w:r>
            <w:r/>
          </w:p>
        </w:tc>
      </w:tr>
    </w:tbl>
    <w:p>
      <w:pPr>
        <w:ind w:firstLine="420"/>
        <w:jc w:val="left"/>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pStyle w:val="695"/>
        <w:jc w:val="center"/>
        <w:keepLines w:val="0"/>
        <w:keepNext w:val="0"/>
        <w:pageBreakBefore w:val="0"/>
        <w:spacing w:before="0" w:line="360" w:lineRule="auto"/>
        <w:widowControl w:val="off"/>
        <w:rPr>
          <w:rFonts w:hint="eastAsia"/>
          <w:sz w:val="21"/>
          <w:szCs w:val="21"/>
          <w:highlight w:val="none"/>
          <w:lang w:val="en-US" w:eastAsia="zh-CN"/>
        </w:rPr>
      </w:pPr>
      <w:r>
        <w:rPr>
          <w:rFonts w:hint="eastAsia"/>
          <w:sz w:val="21"/>
          <w:szCs w:val="21"/>
          <w:highlight w:val="none"/>
          <w:lang w:val="en-US" w:eastAsia="zh-CN"/>
        </w:rPr>
      </w:r>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bookmarkStart w:id="6" w:name="_Toc14061"/>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6"/>
      <w:r/>
      <w:bookmarkStart w:id="7" w:name="_Toc17877"/>
      <w:r/>
      <w:r/>
    </w:p>
    <w:p>
      <w:pPr>
        <w:ind w:firstLine="480"/>
        <w:spacing w:line="360" w:lineRule="auto"/>
        <w:rPr>
          <w:rFonts w:hint="eastAsia" w:ascii="宋体" w:hAnsi="宋体" w:eastAsia="宋体" w:cs="宋体"/>
          <w:bCs/>
          <w:color w:val="auto"/>
          <w:sz w:val="21"/>
          <w:szCs w:val="21"/>
          <w:highlight w:val="none"/>
          <w:lang w:eastAsia="zh-CN"/>
        </w:rPr>
      </w:pPr>
      <w:r/>
      <w:bookmarkStart w:id="8" w:name="_Toc937"/>
      <w:r>
        <w:rPr>
          <w:rFonts w:hint="eastAsia" w:ascii="宋体" w:hAnsi="宋体" w:eastAsia="宋体" w:cs="宋体"/>
          <w:bCs/>
          <w:color w:val="auto"/>
          <w:sz w:val="21"/>
          <w:szCs w:val="21"/>
          <w:highlight w:val="none"/>
          <w:lang w:eastAsia="zh-CN"/>
        </w:rPr>
        <w:t xml:space="preserve">一、采购标的</w:t>
      </w:r>
      <w:bookmarkEnd w:id="8"/>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1.项目名称：</w:t>
      </w:r>
      <w:r>
        <w:rPr>
          <w:rFonts w:hint="eastAsia" w:ascii="宋体" w:hAnsi="宋体" w:cs="宋体"/>
          <w:bCs/>
          <w:color w:val="auto"/>
          <w:sz w:val="21"/>
          <w:szCs w:val="21"/>
          <w:highlight w:val="none"/>
          <w:lang w:eastAsia="zh-CN"/>
        </w:rPr>
        <w:t xml:space="preserve">龙虎塘中学改扩建项目家具设备采购安装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.预算金额：</w:t>
      </w:r>
      <w:r>
        <w:rPr>
          <w:rFonts w:hint="eastAsia" w:ascii="宋体" w:hAnsi="宋体" w:cs="宋体"/>
          <w:bCs/>
          <w:color w:val="auto"/>
          <w:sz w:val="21"/>
          <w:szCs w:val="21"/>
          <w:highlight w:val="none"/>
          <w:lang w:val="en-US" w:eastAsia="zh-CN"/>
        </w:rPr>
        <w:t xml:space="preserve">151.25</w:t>
      </w:r>
      <w:r>
        <w:rPr>
          <w:rFonts w:hint="eastAsia" w:ascii="宋体" w:hAnsi="宋体" w:eastAsia="宋体" w:cs="宋体"/>
          <w:bCs/>
          <w:color w:val="auto"/>
          <w:sz w:val="21"/>
          <w:szCs w:val="21"/>
          <w:highlight w:val="none"/>
          <w:lang w:eastAsia="zh-CN"/>
        </w:rPr>
        <w:t xml:space="preserve">万元 </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.最高限价：</w:t>
      </w:r>
      <w:r>
        <w:rPr>
          <w:rFonts w:hint="eastAsia" w:ascii="宋体" w:hAnsi="宋体" w:cs="宋体"/>
          <w:bCs/>
          <w:color w:val="auto"/>
          <w:sz w:val="21"/>
          <w:szCs w:val="21"/>
          <w:highlight w:val="none"/>
          <w:lang w:val="en-US" w:eastAsia="zh-CN"/>
        </w:rPr>
        <w:t xml:space="preserve">151.25 </w:t>
      </w:r>
      <w:r>
        <w:rPr>
          <w:rFonts w:hint="eastAsia" w:ascii="宋体" w:hAnsi="宋体" w:eastAsia="宋体" w:cs="宋体"/>
          <w:bCs/>
          <w:color w:val="auto"/>
          <w:sz w:val="21"/>
          <w:szCs w:val="21"/>
          <w:highlight w:val="none"/>
          <w:lang w:eastAsia="zh-CN"/>
        </w:rPr>
        <w:t xml:space="preserve">万元</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.采购需求（简介）：本项目采购内容为常州市新北区</w:t>
      </w:r>
      <w:r>
        <w:rPr>
          <w:rFonts w:hint="eastAsia" w:ascii="宋体" w:hAnsi="宋体" w:cs="宋体"/>
          <w:bCs/>
          <w:color w:val="auto"/>
          <w:sz w:val="21"/>
          <w:szCs w:val="21"/>
          <w:highlight w:val="none"/>
          <w:lang w:val="en-US" w:eastAsia="zh-CN"/>
        </w:rPr>
        <w:t xml:space="preserve">龙虎塘中学综合楼</w:t>
      </w:r>
      <w:r>
        <w:rPr>
          <w:rFonts w:hint="eastAsia" w:ascii="宋体" w:hAnsi="宋体" w:eastAsia="宋体" w:cs="宋体"/>
          <w:bCs/>
          <w:color w:val="auto"/>
          <w:sz w:val="21"/>
          <w:szCs w:val="21"/>
          <w:highlight w:val="none"/>
          <w:lang w:eastAsia="zh-CN"/>
        </w:rPr>
        <w:t xml:space="preserve">家具，包括但不限于采购文件及其基本技术要求范围内相应产品供货前的准备(包括现场踏勘、技术核对等)、产品设计、制造、采购、运输、装卸、安装、调试、技术指导培训、检验、质保期及维保服务等全部内容。具体要求详见项目需求。 </w:t>
      </w:r>
      <w:r/>
    </w:p>
    <w:p>
      <w:pPr>
        <w:ind w:firstLine="480"/>
        <w:spacing w:line="360" w:lineRule="auto"/>
        <w:rPr>
          <w:rFonts w:hint="eastAsia" w:ascii="宋体" w:hAnsi="宋体" w:eastAsia="宋体" w:cs="宋体"/>
          <w:bCs/>
          <w:color w:val="auto"/>
          <w:sz w:val="21"/>
          <w:szCs w:val="21"/>
          <w:highlight w:val="none"/>
          <w:lang w:eastAsia="zh-CN"/>
        </w:rPr>
      </w:pPr>
      <w:r/>
      <w:bookmarkStart w:id="9" w:name="_Toc5880"/>
      <w:r>
        <w:rPr>
          <w:rFonts w:hint="eastAsia" w:ascii="宋体" w:hAnsi="宋体" w:cs="宋体"/>
          <w:bCs/>
          <w:color w:val="auto"/>
          <w:sz w:val="21"/>
          <w:szCs w:val="21"/>
          <w:highlight w:val="none"/>
          <w:lang w:eastAsia="zh-CN"/>
        </w:rPr>
        <w:t xml:space="preserve">二、</w:t>
      </w:r>
      <w:r>
        <w:rPr>
          <w:rFonts w:hint="eastAsia" w:ascii="宋体" w:hAnsi="宋体" w:eastAsia="宋体" w:cs="宋体"/>
          <w:bCs/>
          <w:color w:val="auto"/>
          <w:sz w:val="21"/>
          <w:szCs w:val="21"/>
          <w:highlight w:val="none"/>
          <w:lang w:eastAsia="zh-CN"/>
        </w:rPr>
        <w:t xml:space="preserve">商务要求</w:t>
      </w:r>
      <w:bookmarkEnd w:id="9"/>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 交付的时间和地点</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1.1时间：合同签订后30个日历日内</w:t>
      </w:r>
      <w:r>
        <w:rPr>
          <w:rFonts w:hint="eastAsia" w:ascii="宋体" w:hAnsi="宋体" w:eastAsia="宋体" w:cs="宋体"/>
          <w:bCs/>
          <w:color w:val="auto"/>
          <w:sz w:val="21"/>
          <w:szCs w:val="21"/>
          <w:highlight w:val="none"/>
          <w:lang w:val="en-US" w:eastAsia="zh-CN"/>
        </w:rPr>
        <w:t xml:space="preserve">将货物送至采购人指定地点，接采购人通知后，按采购人要求将货物搬运至指定地点并完成</w:t>
      </w:r>
      <w:r>
        <w:rPr>
          <w:rFonts w:hint="eastAsia" w:ascii="宋体" w:hAnsi="宋体" w:eastAsia="宋体" w:cs="宋体"/>
          <w:bCs/>
          <w:color w:val="auto"/>
          <w:sz w:val="21"/>
          <w:szCs w:val="21"/>
          <w:highlight w:val="none"/>
          <w:lang w:eastAsia="zh-CN"/>
        </w:rPr>
        <w:t xml:space="preserve">安装。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1.2地点：常州市新北区</w:t>
      </w:r>
      <w:r>
        <w:rPr>
          <w:rFonts w:hint="eastAsia" w:ascii="宋体" w:hAnsi="宋体" w:cs="宋体"/>
          <w:bCs/>
          <w:color w:val="auto"/>
          <w:sz w:val="21"/>
          <w:szCs w:val="21"/>
          <w:highlight w:val="none"/>
          <w:lang w:val="en-US" w:eastAsia="zh-CN"/>
        </w:rPr>
        <w:t xml:space="preserve">龙虎塘中学</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 付款条件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2.1</w:t>
      </w:r>
      <w:r>
        <w:rPr>
          <w:rFonts w:hint="eastAsia" w:ascii="宋体" w:hAnsi="宋体" w:eastAsia="宋体" w:cs="宋体"/>
          <w:bCs/>
          <w:color w:val="auto"/>
          <w:sz w:val="21"/>
          <w:szCs w:val="21"/>
          <w:highlight w:val="none"/>
          <w:lang w:val="en-US" w:eastAsia="zh-CN"/>
        </w:rPr>
        <w:t xml:space="preserve">合同签订后支付合同价款的30%</w:t>
      </w:r>
      <w:r>
        <w:rPr>
          <w:rFonts w:hint="eastAsia" w:ascii="宋体" w:hAnsi="宋体" w:cs="宋体"/>
          <w:bCs/>
          <w:color w:val="auto"/>
          <w:sz w:val="21"/>
          <w:szCs w:val="21"/>
          <w:highlight w:val="none"/>
          <w:lang w:val="en-US" w:eastAsia="zh-CN"/>
        </w:rPr>
        <w:t xml:space="preserve">；全部货物供货齐全、安装调试完成，</w:t>
      </w:r>
      <w:r>
        <w:rPr>
          <w:rFonts w:hint="eastAsia" w:ascii="宋体" w:hAnsi="宋体" w:eastAsia="宋体" w:cs="宋体"/>
          <w:bCs/>
          <w:color w:val="auto"/>
          <w:sz w:val="21"/>
          <w:szCs w:val="21"/>
          <w:highlight w:val="none"/>
          <w:lang w:val="en-US" w:eastAsia="zh-CN"/>
        </w:rPr>
        <w:t xml:space="preserve">经</w:t>
      </w:r>
      <w:r>
        <w:rPr>
          <w:rFonts w:hint="eastAsia" w:ascii="宋体" w:hAnsi="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lang w:val="en-US" w:eastAsia="zh-CN"/>
        </w:rPr>
        <w:t xml:space="preserve">验收合格且清单中所有内容确认全部实施后支付至合同价款的100%。</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当采购数量与实际使用数量不一致时，中标人应根据实际使用量供货，合同的最终结算金额按实际使用量乘以成交单价进行计算。</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 包装和运输</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3.2使用说明书、质量检验证明书、随配附件和工具以及清单一并附于货物内。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 中标人在货物发运手续办理完毕后24小时内或货到采购人48小时前通知采购人，以准备接货。</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3.4 货物在交付采购人前发生的风险均由中标人负责。</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3.5货物在规定的交付期限内由中标人送达采购人指定的地点视为交付，中标人同时需通知采购人货物已送达。</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 售后服务（质保期）</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4.1本采购包招标的货物至少提供3年免费质保。供应商应按照国家有关法律法规规章和“三包”规定以及合同所附的“服务承诺”提供服务。除上述规定外，还应提供下列服务。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4.1.1在合同规定的质量保证期内免费提供维修服务；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4.1.2如货物发生质量问题影响学生使用的，必须在2小时内到达现场实施维修并及时排除隐患；</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4.1.3若货物在经过维修仍影响正常使用的，供应商应在48 小时内进行货物部分材料的更换或者整体更换。更换材料的规格型号档次不能低于原货物的标准。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4.1.4供应商所供货物要求实行终身维保；在此期间内，不应发生非人为原因的重大故障，否则采购人有权追溯供应商的责任。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4.1.5在质保期满后，供应商所供货物出现损坏时，供应商仍需做好售后服务，并依照质保期内的服务方案及时赶到现场，及时处理解决。如需更换零部件，采购人支付相应材料成本费。</w:t>
      </w:r>
      <w:r/>
    </w:p>
    <w:p>
      <w:pPr>
        <w:ind w:firstLine="480"/>
        <w:spacing w:line="360" w:lineRule="auto"/>
        <w:rPr>
          <w:rFonts w:hint="eastAsia" w:ascii="宋体" w:hAnsi="宋体" w:eastAsia="宋体" w:cs="宋体"/>
          <w:bCs/>
          <w:color w:val="auto"/>
          <w:sz w:val="21"/>
          <w:szCs w:val="21"/>
          <w:highlight w:val="none"/>
          <w:lang w:eastAsia="zh-CN"/>
        </w:rPr>
      </w:pPr>
      <w:r/>
      <w:bookmarkStart w:id="10" w:name="_Toc17392"/>
      <w:r>
        <w:rPr>
          <w:rFonts w:hint="eastAsia" w:ascii="宋体" w:hAnsi="宋体" w:cs="宋体"/>
          <w:bCs/>
          <w:color w:val="auto"/>
          <w:sz w:val="21"/>
          <w:szCs w:val="21"/>
          <w:highlight w:val="none"/>
          <w:lang w:eastAsia="zh-CN"/>
        </w:rPr>
        <w:t xml:space="preserve">三、</w:t>
      </w:r>
      <w:r>
        <w:rPr>
          <w:rFonts w:hint="eastAsia" w:ascii="宋体" w:hAnsi="宋体" w:eastAsia="宋体" w:cs="宋体"/>
          <w:bCs/>
          <w:color w:val="auto"/>
          <w:sz w:val="21"/>
          <w:szCs w:val="21"/>
          <w:highlight w:val="none"/>
          <w:lang w:eastAsia="zh-CN"/>
        </w:rPr>
        <w:t xml:space="preserve">技术要求</w:t>
      </w:r>
      <w:bookmarkEnd w:id="10"/>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 基本要求：技术标准（满足本招标文件的技术要求的同时，不得低于以下标准。如有最新标准，按照国家最新标准执行）</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35607-2017《绿色产品评价家具》</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3324-2017《木家具通用技术条件》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3325-2017《金属家具通用技术条件》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39600-2021《人造板及其制品甲醛释放量分级》</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9846-2015 《普通胶合板》</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17657-2022《人造板及饰面人造板理化性能试验方法》</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 28481-2012《塑料家具中有害物质限量》</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QB/T 4463-2013 《家具用封边条技术要求》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QB/T 2189-2013《家具五金杯状暗铰链》</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QB/T 2280-2016《办公家具办公椅》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四、</w:t>
      </w:r>
      <w:r>
        <w:rPr>
          <w:rFonts w:hint="eastAsia" w:ascii="宋体" w:hAnsi="宋体" w:eastAsia="宋体" w:cs="宋体"/>
          <w:bCs/>
          <w:color w:val="auto"/>
          <w:sz w:val="21"/>
          <w:szCs w:val="21"/>
          <w:highlight w:val="none"/>
          <w:lang w:eastAsia="zh-CN"/>
        </w:rPr>
        <w:t xml:space="preserve">货物</w:t>
      </w:r>
      <w:r>
        <w:rPr>
          <w:rFonts w:hint="eastAsia" w:ascii="宋体" w:hAnsi="宋体" w:cs="宋体"/>
          <w:bCs/>
          <w:color w:val="auto"/>
          <w:sz w:val="21"/>
          <w:szCs w:val="21"/>
          <w:highlight w:val="none"/>
          <w:lang w:eastAsia="zh-CN"/>
        </w:rPr>
        <w:t xml:space="preserve">清单及</w:t>
      </w:r>
      <w:r>
        <w:rPr>
          <w:rFonts w:hint="eastAsia" w:ascii="宋体" w:hAnsi="宋体" w:eastAsia="宋体" w:cs="宋体"/>
          <w:bCs/>
          <w:color w:val="auto"/>
          <w:sz w:val="21"/>
          <w:szCs w:val="21"/>
          <w:highlight w:val="none"/>
          <w:lang w:eastAsia="zh-CN"/>
        </w:rPr>
        <w:t xml:space="preserve">技术要求</w:t>
      </w:r>
      <w:r/>
    </w:p>
    <w:p>
      <w:pPr>
        <w:ind w:firstLine="480"/>
        <w:spacing w:line="360" w:lineRule="auto"/>
        <w:rPr>
          <w:rFonts w:hint="eastAsia" w:ascii="宋体" w:hAnsi="宋体" w:eastAsia="宋体" w:cs="宋体"/>
          <w:bCs/>
          <w:color w:val="auto"/>
          <w:sz w:val="21"/>
          <w:szCs w:val="21"/>
          <w:highlight w:val="none"/>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auto"/>
          <w:sz w:val="21"/>
          <w:szCs w:val="21"/>
          <w:highlight w:val="none"/>
          <w:lang w:eastAsia="zh-CN"/>
        </w:rPr>
      </w:r>
      <w:r/>
    </w:p>
    <w:tbl>
      <w:tblPr>
        <w:tblStyle w:val="690"/>
        <w:tblW w:w="139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379"/>
        <w:gridCol w:w="3166"/>
        <w:gridCol w:w="1668"/>
        <w:gridCol w:w="5019"/>
        <w:gridCol w:w="789"/>
        <w:gridCol w:w="1084"/>
      </w:tblGrid>
      <w:tr>
        <w:trPr>
          <w:trHeight w:val="1080"/>
        </w:trPr>
        <w:tc>
          <w:tcPr>
            <w:gridSpan w:val="7"/>
            <w:shd w:val="clear" w:color="auto" w:fill="auto"/>
            <w:tcBorders>
              <w:top w:val="none" w:color="000000" w:sz="4" w:space="0"/>
              <w:left w:val="none" w:color="000000" w:sz="4" w:space="0"/>
              <w:bottom w:val="none" w:color="000000" w:sz="4" w:space="0"/>
              <w:right w:val="none" w:color="000000" w:sz="4" w:space="0"/>
            </w:tcBorders>
            <w:tcW w:w="13905" w:type="dxa"/>
            <w:vAlign w:val="center"/>
            <w:textDirection w:val="lrTb"/>
            <w:noWrap w:val="false"/>
          </w:tcPr>
          <w:p>
            <w:pPr>
              <w:ind w:left="0" w:right="0"/>
              <w:jc w:val="center"/>
              <w:keepLines w:val="0"/>
              <w:keepNext w:val="0"/>
              <w:spacing w:before="0" w:beforeAutospacing="0" w:after="0" w:afterAutospacing="0"/>
              <w:widowControl/>
              <w:rPr>
                <w:rFonts w:ascii="微软雅黑" w:hAnsi="微软雅黑" w:eastAsia="微软雅黑" w:cs="微软雅黑"/>
                <w:b/>
                <w:bCs/>
                <w:i w:val="0"/>
                <w:iCs w:val="0"/>
                <w:color w:val="000000"/>
                <w:sz w:val="18"/>
                <w:szCs w:val="18"/>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龙虎塘初中办公家具方案清单</w:t>
            </w:r>
            <w:r/>
          </w:p>
        </w:tc>
      </w:tr>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品名</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产品图片</w:t>
            </w:r>
            <w:r/>
          </w:p>
        </w:tc>
        <w:tc>
          <w:tcPr>
            <w:shd w:val="clear" w:color="auto" w:fill="d0cece"/>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规格（mm）</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材质说明</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单位</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数量</w:t>
            </w:r>
            <w:r/>
          </w:p>
        </w:tc>
      </w:tr>
      <w:tr>
        <w:trPr>
          <w:trHeight w:val="4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4人位餐桌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1365250</wp:posOffset>
                      </wp:positionV>
                      <wp:extent cx="1438275" cy="1413510"/>
                      <wp:effectExtent l="0" t="0" r="9525" b="15240"/>
                      <wp:wrapNone/>
                      <wp:docPr id="2" name="图片_52"/>
                      <wp:cNvGraphicFramePr/>
                      <a:graphic xmlns:a="http://schemas.openxmlformats.org/drawingml/2006/main">
                        <a:graphicData uri="http://schemas.openxmlformats.org/drawingml/2006/picture">
                          <pic:pic xmlns:pic="http://schemas.openxmlformats.org/drawingml/2006/picture">
                            <pic:nvPicPr>
                              <pic:cNvPr id="75" name="图片_52"/>
                              <pic:cNvPicPr/>
                              <pic:nvPr/>
                            </pic:nvPicPr>
                            <pic:blipFill>
                              <a:blip r:embed="rId13"/>
                              <a:stretch/>
                            </pic:blipFill>
                            <pic:spPr bwMode="auto">
                              <a:xfrm>
                                <a:off x="0" y="0"/>
                                <a:ext cx="1438275" cy="1413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6pt;mso-position-horizontal:absolute;mso-position-vertical-relative:text;margin-top:107.5pt;mso-position-vertical:absolute;width:113.2pt;height:111.3pt;mso-wrap-distance-left:9.0pt;mso-wrap-distance-top:0.0pt;mso-wrap-distance-right:9.0pt;mso-wrap-distance-bottom:0.0pt;" stroked="f">
                      <v:path textboxrect="0,0,0,0"/>
                      <v:imagedata r:id="rId13"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448945</wp:posOffset>
                      </wp:positionH>
                      <wp:positionV relativeFrom="paragraph">
                        <wp:posOffset>229235</wp:posOffset>
                      </wp:positionV>
                      <wp:extent cx="1047750" cy="925830"/>
                      <wp:effectExtent l="0" t="0" r="0" b="7620"/>
                      <wp:wrapNone/>
                      <wp:docPr id="3" name="图片_30"/>
                      <wp:cNvGraphicFramePr/>
                      <a:graphic xmlns:a="http://schemas.openxmlformats.org/drawingml/2006/main">
                        <a:graphicData uri="http://schemas.openxmlformats.org/drawingml/2006/picture">
                          <pic:pic xmlns:pic="http://schemas.openxmlformats.org/drawingml/2006/picture">
                            <pic:nvPicPr>
                              <pic:cNvPr id="74" name="图片_30"/>
                              <pic:cNvPicPr/>
                              <pic:nvPr/>
                            </pic:nvPicPr>
                            <pic:blipFill>
                              <a:blip r:embed="rId14"/>
                              <a:stretch/>
                            </pic:blipFill>
                            <pic:spPr bwMode="auto">
                              <a:xfrm>
                                <a:off x="0" y="0"/>
                                <a:ext cx="1047750" cy="925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5.4pt;mso-position-horizontal:absolute;mso-position-vertical-relative:text;margin-top:18.1pt;mso-position-vertical:absolute;width:82.5pt;height:72.9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1200*1520*760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1、材质：采用304全不锈钢  ；                                                                                                       2、台面： 桌面外覆 304不锈钢，内覆内村25m厚免漆板打底；                                                </w:t>
            </w:r>
            <w:r>
              <w:rPr>
                <w:rFonts w:hint="eastAsia" w:ascii="微软雅黑" w:hAnsi="微软雅黑" w:eastAsia="微软雅黑" w:cs="微软雅黑"/>
                <w:i w:val="0"/>
                <w:iCs w:val="0"/>
                <w:color w:val="000000"/>
                <w:sz w:val="18"/>
                <w:szCs w:val="18"/>
                <w:highlight w:val="none"/>
                <w:u w:val="none"/>
                <w:lang w:val="en-US" w:eastAsia="zh-CN" w:bidi="ar"/>
              </w:rPr>
              <w:t xml:space="preserve">                                                                                                                                                                                               3、钢架：横梁、立柱全部为50*50*1.8mm的方管整体焊接组成  ；                             </w:t>
            </w:r>
            <w:r>
              <w:rPr>
                <w:rFonts w:hint="eastAsia" w:ascii="微软雅黑" w:hAnsi="微软雅黑" w:eastAsia="微软雅黑" w:cs="微软雅黑"/>
                <w:i w:val="0"/>
                <w:iCs w:val="0"/>
                <w:color w:val="000000"/>
                <w:sz w:val="18"/>
                <w:szCs w:val="18"/>
                <w:highlight w:val="none"/>
                <w:u w:val="none"/>
                <w:lang w:val="en-US" w:eastAsia="zh-CN" w:bidi="ar"/>
              </w:rPr>
              <w:t xml:space="preserve">                                                                                4、坐凳：为φ300mmABS 凳面；                                                                                                 5、脚垫：塑料防水脚套；                                                </w:t>
            </w:r>
            <w:r>
              <w:rPr>
                <w:rFonts w:hint="eastAsia" w:ascii="微软雅黑" w:hAnsi="微软雅黑" w:eastAsia="微软雅黑" w:cs="微软雅黑"/>
                <w:i w:val="0"/>
                <w:iCs w:val="0"/>
                <w:color w:val="000000"/>
                <w:sz w:val="18"/>
                <w:szCs w:val="18"/>
                <w:highlight w:val="none"/>
                <w:u w:val="none"/>
                <w:lang w:val="en-US" w:eastAsia="zh-CN" w:bidi="ar"/>
              </w:rPr>
              <w:t xml:space="preserve">                                                      6、工艺：钢架经酸洗、磷化处理后粉末静电喷涂，表面光滑平整无瑕疵，符合国家标准；                                                                                                                                                    7、备注：具体细节参考图纸。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8人位餐桌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266065</wp:posOffset>
                      </wp:positionH>
                      <wp:positionV relativeFrom="paragraph">
                        <wp:posOffset>1282065</wp:posOffset>
                      </wp:positionV>
                      <wp:extent cx="1458595" cy="1005205"/>
                      <wp:effectExtent l="0" t="0" r="8255" b="4445"/>
                      <wp:wrapNone/>
                      <wp:docPr id="4" name="图片_53"/>
                      <wp:cNvGraphicFramePr/>
                      <a:graphic xmlns:a="http://schemas.openxmlformats.org/drawingml/2006/main">
                        <a:graphicData uri="http://schemas.openxmlformats.org/drawingml/2006/picture">
                          <pic:pic xmlns:pic="http://schemas.openxmlformats.org/drawingml/2006/picture">
                            <pic:nvPicPr>
                              <pic:cNvPr id="76" name="图片_53"/>
                              <pic:cNvPicPr/>
                              <pic:nvPr/>
                            </pic:nvPicPr>
                            <pic:blipFill>
                              <a:blip r:embed="rId15"/>
                              <a:stretch/>
                            </pic:blipFill>
                            <pic:spPr bwMode="auto">
                              <a:xfrm>
                                <a:off x="0" y="0"/>
                                <a:ext cx="1458595"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0.9pt;mso-position-horizontal:absolute;mso-position-vertical-relative:text;margin-top:100.9pt;mso-position-vertical:absolute;width:114.8pt;height:79.1pt;mso-wrap-distance-left:9.0pt;mso-wrap-distance-top:0.0pt;mso-wrap-distance-right:9.0pt;mso-wrap-distance-bottom:0.0pt;" stroked="f">
                      <v:path textboxrect="0,0,0,0"/>
                      <v:imagedata r:id="rId15"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325120</wp:posOffset>
                      </wp:positionH>
                      <wp:positionV relativeFrom="paragraph">
                        <wp:posOffset>247650</wp:posOffset>
                      </wp:positionV>
                      <wp:extent cx="1266190" cy="884555"/>
                      <wp:effectExtent l="0" t="0" r="10160" b="10795"/>
                      <wp:wrapNone/>
                      <wp:docPr id="5" name="图片_11"/>
                      <wp:cNvGraphicFramePr/>
                      <a:graphic xmlns:a="http://schemas.openxmlformats.org/drawingml/2006/main">
                        <a:graphicData uri="http://schemas.openxmlformats.org/drawingml/2006/picture">
                          <pic:pic xmlns:pic="http://schemas.openxmlformats.org/drawingml/2006/picture">
                            <pic:nvPicPr>
                              <pic:cNvPr id="78" name="图片_11"/>
                              <pic:cNvPicPr/>
                              <pic:nvPr/>
                            </pic:nvPicPr>
                            <pic:blipFill>
                              <a:blip r:embed="rId16"/>
                              <a:stretch/>
                            </pic:blipFill>
                            <pic:spPr bwMode="auto">
                              <a:xfrm>
                                <a:off x="0" y="0"/>
                                <a:ext cx="1266190" cy="884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5.6pt;mso-position-horizontal:absolute;mso-position-vertical-relative:text;margin-top:19.5pt;mso-position-vertical:absolute;width:99.7pt;height:69.6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2400*1520*760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1、材质：采用304全不锈钢  ；                                                                                                    2、台面： 桌面外覆 304不锈钢，内覆内村25m厚免漆板打底；                                              </w:t>
            </w:r>
            <w:r>
              <w:rPr>
                <w:rFonts w:hint="eastAsia" w:ascii="微软雅黑" w:hAnsi="微软雅黑" w:eastAsia="微软雅黑" w:cs="微软雅黑"/>
                <w:i w:val="0"/>
                <w:iCs w:val="0"/>
                <w:color w:val="000000"/>
                <w:sz w:val="18"/>
                <w:szCs w:val="18"/>
                <w:highlight w:val="none"/>
                <w:u w:val="none"/>
                <w:lang w:val="en-US" w:eastAsia="zh-CN" w:bidi="ar"/>
              </w:rPr>
              <w:t xml:space="preserve">                                                                                                                                                                                                 3、钢架：横梁、立柱全部为50*50*1.8mm的方管整体焊接组成  ；                           </w:t>
            </w:r>
            <w:r>
              <w:rPr>
                <w:rFonts w:hint="eastAsia" w:ascii="微软雅黑" w:hAnsi="微软雅黑" w:eastAsia="微软雅黑" w:cs="微软雅黑"/>
                <w:i w:val="0"/>
                <w:iCs w:val="0"/>
                <w:color w:val="000000"/>
                <w:sz w:val="18"/>
                <w:szCs w:val="18"/>
                <w:highlight w:val="none"/>
                <w:u w:val="none"/>
                <w:lang w:val="en-US" w:eastAsia="zh-CN" w:bidi="ar"/>
              </w:rPr>
              <w:t xml:space="preserve">                                                                                  4、坐凳：为φ300mmABS 凳面；                                                                                               5、脚垫：塑料防水脚套；                                                </w:t>
            </w:r>
            <w:r>
              <w:rPr>
                <w:rFonts w:hint="eastAsia" w:ascii="微软雅黑" w:hAnsi="微软雅黑" w:eastAsia="微软雅黑" w:cs="微软雅黑"/>
                <w:i w:val="0"/>
                <w:iCs w:val="0"/>
                <w:color w:val="000000"/>
                <w:sz w:val="18"/>
                <w:szCs w:val="18"/>
                <w:highlight w:val="none"/>
                <w:u w:val="none"/>
                <w:lang w:val="en-US" w:eastAsia="zh-CN" w:bidi="ar"/>
              </w:rPr>
              <w:t xml:space="preserve">                                                     6、工艺：钢架经酸洗、磷化处理后粉末静电喷涂，表面光滑平整无瑕疵，符合国家标准；                                                                                                                                                     7、备注：具体细节参考图纸。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165</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321310</wp:posOffset>
                      </wp:positionH>
                      <wp:positionV relativeFrom="paragraph">
                        <wp:posOffset>885825</wp:posOffset>
                      </wp:positionV>
                      <wp:extent cx="1460500" cy="1224915"/>
                      <wp:effectExtent l="0" t="0" r="6350" b="13335"/>
                      <wp:wrapNone/>
                      <wp:docPr id="6" name="图片_12"/>
                      <wp:cNvGraphicFramePr/>
                      <a:graphic xmlns:a="http://schemas.openxmlformats.org/drawingml/2006/main">
                        <a:graphicData uri="http://schemas.openxmlformats.org/drawingml/2006/picture">
                          <pic:pic xmlns:pic="http://schemas.openxmlformats.org/drawingml/2006/picture">
                            <pic:nvPicPr>
                              <pic:cNvPr id="77" name="图片_12"/>
                              <pic:cNvPicPr/>
                              <pic:nvPr/>
                            </pic:nvPicPr>
                            <pic:blipFill>
                              <a:blip r:embed="rId17"/>
                              <a:stretch/>
                            </pic:blipFill>
                            <pic:spPr bwMode="auto">
                              <a:xfrm>
                                <a:off x="0" y="0"/>
                                <a:ext cx="1460500" cy="1224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5.3pt;mso-position-horizontal:absolute;mso-position-vertical-relative:text;margin-top:69.8pt;mso-position-vertical:absolute;width:115.0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5400*450*2000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1、结构：双柱钢木结构，全拆装式，层板高度可调节。双面6层，双面复柱，六组一列，立柱截面45mm*35</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。立柱、侧板等为全拆装结构，立柱调节孔不少于38个。</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用材：钢板为优质冷轧钢板，立柱1.2mm厚、中心槽长20mm，凸型槽深12.5mm；隔板0.8mm厚，隔板尺寸不小于806*207*高25mm，6道折弯加强；两道加强筋7mm宽，两道加强筋间距64mm，两侧面各压制一组加强筋7mm宽，两端定位间距为143mm；挂板0.8mm厚、长442mm*高125mm压型加强；配有两个椭圆孔97mm*28mm两椭圆孔间距108mm，定位槽间距54m</w:t>
            </w:r>
            <w:r>
              <w:rPr>
                <w:rFonts w:hint="eastAsia" w:ascii="微软雅黑" w:hAnsi="微软雅黑" w:eastAsia="微软雅黑" w:cs="微软雅黑"/>
                <w:i w:val="0"/>
                <w:iCs w:val="0"/>
                <w:color w:val="000000"/>
                <w:sz w:val="18"/>
                <w:szCs w:val="18"/>
                <w:highlight w:val="none"/>
                <w:u w:val="none"/>
                <w:lang w:val="en-US" w:eastAsia="zh-CN" w:bidi="ar"/>
              </w:rPr>
              <w:t xml:space="preserve">m，两端挂扣间距25mm；顶板0.8mm厚、长810*宽450*高40mm，整体焊接书架中隔棒（挡书条采用Ф12mm不锈钢管）0.8mm厚；                                                                                                             3、工艺和功能：金属件：一次冲压成型，搁板为双面可调试，立柱、搁板、挂板正面 2 条压型槽增加强度，书架装配后的单架整体尺寸长、宽、高允许偏差应控制在±2</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以内；书架尺寸长按组距计算；立柱截面成型尺寸为45mm*35</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，长度偏差应控制在±2 </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以内；立柱孔中间圆形φ8mm,圆形两端长条孔宽度为4mm,立柱孔尺寸为长20*宽8mm,孔间距24mm；4道折弯加强立柱，凡触及人体部分无毛边、锐角，书架架体灰白色；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4、表面处理：金属表面经脱脂、除锈、磷化、表面调整、钝化等工序处理。采用不含二氧化硫、 磷等重金属及有机挥发物，环氧聚酯混合型热固性粉末喷塑，静电喷涂、高温固化，达到环保标准；</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5、颜色：木护板颜色可选。选用≥18mm厚优质实木多层板，木护板分布在书架的顶部、侧面、底部，并用专用螺丝固定，木护板顶部圆弧角设计。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304800</wp:posOffset>
                      </wp:positionH>
                      <wp:positionV relativeFrom="paragraph">
                        <wp:posOffset>1250950</wp:posOffset>
                      </wp:positionV>
                      <wp:extent cx="1460500" cy="1224915"/>
                      <wp:effectExtent l="0" t="0" r="6350" b="13335"/>
                      <wp:wrapNone/>
                      <wp:docPr id="7" name="图片_95"/>
                      <wp:cNvGraphicFramePr/>
                      <a:graphic xmlns:a="http://schemas.openxmlformats.org/drawingml/2006/main">
                        <a:graphicData uri="http://schemas.openxmlformats.org/drawingml/2006/picture">
                          <pic:pic xmlns:pic="http://schemas.openxmlformats.org/drawingml/2006/picture">
                            <pic:nvPicPr>
                              <pic:cNvPr id="71" name="图片_95"/>
                              <pic:cNvPicPr/>
                              <pic:nvPr/>
                            </pic:nvPicPr>
                            <pic:blipFill>
                              <a:blip r:embed="rId17"/>
                              <a:stretch/>
                            </pic:blipFill>
                            <pic:spPr bwMode="auto">
                              <a:xfrm>
                                <a:off x="0" y="0"/>
                                <a:ext cx="1460500" cy="1224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4.0pt;mso-position-horizontal:absolute;mso-position-vertical-relative:text;margin-top:98.5pt;mso-position-vertical:absolute;width:115.0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7200*300*2000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1、结构：双柱钢木结构，全拆装式，层板高度可调节。单面6层，八组一列，立柱截面45mm*35</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。立柱、侧板等为全拆装结构，立柱调节孔不少于38个。</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用材：钢板为优质冷轧钢板，立柱1.2mm厚、中心槽长20mm，凸型槽深12.5mm；隔板0.8mm厚，隔板尺寸不小于806*207*高25mm，6道折弯加强；两道加强筋7mm宽，两道加强筋间距64mm，两侧面各压制一组加强筋7mm宽，两端定位间距为143mm；挂板0.8mm厚、长442mm*高125mm压型加强；配有两个椭圆孔97mm*28mm两椭圆孔间距108mm，定位槽间距54m</w:t>
            </w:r>
            <w:r>
              <w:rPr>
                <w:rFonts w:hint="eastAsia" w:ascii="微软雅黑" w:hAnsi="微软雅黑" w:eastAsia="微软雅黑" w:cs="微软雅黑"/>
                <w:i w:val="0"/>
                <w:iCs w:val="0"/>
                <w:color w:val="000000"/>
                <w:sz w:val="18"/>
                <w:szCs w:val="18"/>
                <w:highlight w:val="none"/>
                <w:u w:val="none"/>
                <w:lang w:val="en-US" w:eastAsia="zh-CN" w:bidi="ar"/>
              </w:rPr>
              <w:t xml:space="preserve">m，两端挂扣间距25mm；顶板0.8mm厚、长810*宽450*高40mm，整体焊接书架中隔棒（挡书条采用Ф12mm不锈钢管）0.8mm厚；                                                                                                             3、工艺和功能：金属件：一次冲压成型，搁板为双面可调试，立柱、搁板、挂板正面 2 条压型槽增加强度，书架装配后的单架整体尺寸长、宽、高允许偏差应控制在±2</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以内；书架尺寸长按组距计算；立柱截面成型尺寸为45mm*35</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，长度偏差应控制在±2 </w:t>
            </w:r>
            <w:r>
              <w:rPr>
                <w:rStyle w:val="897"/>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以内；立柱孔中间圆形φ8mm,圆形两端长条孔宽度为4mm,立柱孔尺寸为长20*宽8mm,孔间距24mm；4道折弯加强立柱，凡触及人体部分无毛边、锐角，书架架体灰白色；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4、表面处理：金属表面经脱脂、除锈、磷化、表面调整、钝化等工序处理。采用不含二氧化硫、 磷等重金属及有机挥发物，环氧聚酯混合型热固性粉末喷塑，静电喷涂、高温固化，达到环保标准；</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5、颜色：木护板颜色可选。选用≥18mm厚优质实木多层板，木护板分布在书架的顶部、侧面、底部，并用专用螺丝固定，木护板顶部圆弧角设计。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6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密集架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1376045</wp:posOffset>
                      </wp:positionV>
                      <wp:extent cx="1366520" cy="1054735"/>
                      <wp:effectExtent l="0" t="0" r="5080" b="12065"/>
                      <wp:wrapNone/>
                      <wp:docPr id="8" name="图片_137"/>
                      <wp:cNvGraphicFramePr/>
                      <a:graphic xmlns:a="http://schemas.openxmlformats.org/drawingml/2006/main">
                        <a:graphicData uri="http://schemas.openxmlformats.org/drawingml/2006/picture">
                          <pic:pic xmlns:pic="http://schemas.openxmlformats.org/drawingml/2006/picture">
                            <pic:nvPicPr>
                              <pic:cNvPr id="70" name="图片_137"/>
                              <pic:cNvPicPr/>
                              <pic:nvPr/>
                            </pic:nvPicPr>
                            <pic:blipFill>
                              <a:blip r:embed="rId18"/>
                              <a:stretch/>
                            </pic:blipFill>
                            <pic:spPr bwMode="auto">
                              <a:xfrm>
                                <a:off x="0" y="0"/>
                                <a:ext cx="1366520" cy="105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3.2pt;mso-position-horizontal:absolute;mso-position-vertical-relative:text;margin-top:108.3pt;mso-position-vertical:absolute;width:107.6pt;height:83.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900*560*2400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1、数量：可装一列11组，共9列，合计99组。</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 每列11组，每组6层，双面存取，首末两边列对开门。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2、体积：总高2.4米*总长9.9米*总宽5.04米=约119.75立方米                                    3、轨道：轨道座采用3.0mm厚热轧钢板，轨道采用20*20mm实心方钢                                                                                    4、架体：立柱采用1.5mm冷轧钢板，搁板采用1.0mm冷轧钢板，挂板采用1.0mm冷轧钢板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5、结构：</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整体结构：为组合式移动密集结构，整体由多个独立柜体单元组成，可通过摇把驱动链轮、链条，实现柜体在轨道上平稳移动。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轨道结构：采用20#实心方钢，经切割、打磨、防锈处理，预埋安装，与柜体底部滚轮适配，保障密集柜移动顺滑，同时具备良好承重性，防止柜体倾斜、侧翻。</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制动与防护结构：每列柜体设制动装置，手刹锁定或解锁；列与列间设缓冲、密封装置；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防护装置：防尘板顶板采用0.6mm冷轧钢板，每列的接触面均有缓冲及密封装置,具有良好的防震,防尘,防火功能。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119.8</w:t>
            </w:r>
            <w:r/>
          </w:p>
        </w:tc>
      </w:tr>
      <w:tr>
        <w:trPr>
          <w:trHeight w:val="25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255905</wp:posOffset>
                      </wp:positionH>
                      <wp:positionV relativeFrom="paragraph">
                        <wp:posOffset>396875</wp:posOffset>
                      </wp:positionV>
                      <wp:extent cx="1482725" cy="1095375"/>
                      <wp:effectExtent l="0" t="0" r="3175" b="9525"/>
                      <wp:wrapNone/>
                      <wp:docPr id="9" name="ID_EF13DEF1630C44F5B5D25DBFC89F4AE6"/>
                      <wp:cNvGraphicFramePr/>
                      <a:graphic xmlns:a="http://schemas.openxmlformats.org/drawingml/2006/main">
                        <a:graphicData uri="http://schemas.openxmlformats.org/drawingml/2006/picture">
                          <pic:pic xmlns:pic="http://schemas.openxmlformats.org/drawingml/2006/picture">
                            <pic:nvPicPr>
                              <pic:cNvPr id="72" name="ID_EF13DEF1630C44F5B5D25DBFC89F4AE6"/>
                              <pic:cNvPicPr/>
                              <pic:nvPr/>
                            </pic:nvPicPr>
                            <pic:blipFill>
                              <a:blip r:embed="rId19"/>
                              <a:stretch/>
                            </pic:blipFill>
                            <pic:spPr bwMode="auto">
                              <a:xfrm>
                                <a:off x="0" y="0"/>
                                <a:ext cx="14827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0.1pt;mso-position-horizontal:absolute;mso-position-vertical-relative:text;margin-top:31.2pt;mso-position-vertical:absolute;width:116.8pt;height:86.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1、立柱采用80*40*2.0厚的C型钢材，横梁采用60*40*1.5厚的P型钢材，层板采用冷扎钢板制造。 立柱与横梁以挂接连接锁紧锁的设计，自由升降，无需焊接；每层距离以75mm为节距任意调节层高，每层承载200公斤左右；</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2、表面通过酸洗、磷化、静电喷涂处理，防腐防锈、坚固耐用。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r>
      <w:tr>
        <w:trPr>
          <w:trHeight w:val="2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钢制两门更衣柜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408305</wp:posOffset>
                      </wp:positionH>
                      <wp:positionV relativeFrom="paragraph">
                        <wp:posOffset>139700</wp:posOffset>
                      </wp:positionV>
                      <wp:extent cx="966470" cy="1441450"/>
                      <wp:effectExtent l="0" t="0" r="5080" b="6350"/>
                      <wp:wrapNone/>
                      <wp:docPr id="10" name="图片_6"/>
                      <wp:cNvGraphicFramePr/>
                      <a:graphic xmlns:a="http://schemas.openxmlformats.org/drawingml/2006/main">
                        <a:graphicData uri="http://schemas.openxmlformats.org/drawingml/2006/picture">
                          <pic:pic xmlns:pic="http://schemas.openxmlformats.org/drawingml/2006/picture">
                            <pic:nvPicPr>
                              <pic:cNvPr id="73" name="图片_6"/>
                              <pic:cNvPicPr/>
                              <pic:nvPr/>
                            </pic:nvPicPr>
                            <pic:blipFill>
                              <a:blip r:embed="rId20"/>
                              <a:stretch/>
                            </pic:blipFill>
                            <pic:spPr bwMode="auto">
                              <a:xfrm>
                                <a:off x="0" y="0"/>
                                <a:ext cx="966470" cy="14414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32.1pt;mso-position-horizontal:absolute;mso-position-vertical-relative:text;margin-top:11.0pt;mso-position-vertical:absolute;width:76.1pt;height:113.5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1、基材：柜体均采用1.0mm厚优质冷轧钢板制作；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钢板部分经剪切、冲压、折弯、焊接、装配而成，焊接无脱焊、虚焊、焊穿，焊接点打磨光滑平整无毛刺。钢制部分经除油硅烷化后热固性粉末涂料喷塑处理，表面均匀光亮，色泽一致、密封、平整、无划伤；</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3、锁具：互开率低，表面镀铬，锁头不锈钢包边处理，有管理和换锁芯功能。增加消音装置。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弧形型书架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1487170</wp:posOffset>
                      </wp:positionV>
                      <wp:extent cx="1467485" cy="959485"/>
                      <wp:effectExtent l="0" t="0" r="18415" b="12065"/>
                      <wp:wrapNone/>
                      <wp:docPr id="11" name="图片_54"/>
                      <wp:cNvGraphicFramePr/>
                      <a:graphic xmlns:a="http://schemas.openxmlformats.org/drawingml/2006/main">
                        <a:graphicData uri="http://schemas.openxmlformats.org/drawingml/2006/picture">
                          <pic:pic xmlns:pic="http://schemas.openxmlformats.org/drawingml/2006/picture">
                            <pic:nvPicPr>
                              <pic:cNvPr id="68" name="图片_54"/>
                              <pic:cNvPicPr/>
                              <pic:nvPr/>
                            </pic:nvPicPr>
                            <pic:blipFill>
                              <a:blip r:embed="rId21"/>
                              <a:stretch/>
                            </pic:blipFill>
                            <pic:spPr bwMode="auto">
                              <a:xfrm>
                                <a:off x="0" y="0"/>
                                <a:ext cx="1467485" cy="95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0.2pt;mso-position-horizontal:absolute;mso-position-vertical-relative:text;margin-top:117.1pt;mso-position-vertical:absolute;width:115.5pt;height:75.5pt;mso-wrap-distance-left:9.0pt;mso-wrap-distance-top:0.0pt;mso-wrap-distance-right:9.0pt;mso-wrap-distance-bottom:0.0pt;" stroked="f">
                      <v:path textboxrect="0,0,0,0"/>
                      <v:imagedata r:id="rId21"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552450</wp:posOffset>
                      </wp:positionH>
                      <wp:positionV relativeFrom="paragraph">
                        <wp:posOffset>238125</wp:posOffset>
                      </wp:positionV>
                      <wp:extent cx="808990" cy="1057275"/>
                      <wp:effectExtent l="0" t="0" r="10160" b="9525"/>
                      <wp:wrapNone/>
                      <wp:docPr id="12" name="图片_26"/>
                      <wp:cNvGraphicFramePr/>
                      <a:graphic xmlns:a="http://schemas.openxmlformats.org/drawingml/2006/main">
                        <a:graphicData uri="http://schemas.openxmlformats.org/drawingml/2006/picture">
                          <pic:pic xmlns:pic="http://schemas.openxmlformats.org/drawingml/2006/picture">
                            <pic:nvPicPr>
                              <pic:cNvPr id="69" name="图片_26"/>
                              <pic:cNvPicPr/>
                              <pic:nvPr/>
                            </pic:nvPicPr>
                            <pic:blipFill>
                              <a:blip r:embed="rId22"/>
                              <a:stretch/>
                            </pic:blipFill>
                            <pic:spPr bwMode="auto">
                              <a:xfrm>
                                <a:off x="0" y="0"/>
                                <a:ext cx="808989" cy="1057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43.5pt;mso-position-horizontal:absolute;mso-position-vertical-relative:text;margin-top:18.8pt;mso-position-vertical:absolute;width:63.7pt;height:83.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2400*400*1200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1、材质：采用E0级实木多层板 ；                                                                                                                        2、结构： 层板厚度为25mm，其余板材厚度为18mm。 书架分为三层，全开放格单元柜（每组12格开放格）组成；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5、五金配件：采用优质品牌连接件；                                                                                                 6、备注：具体细节参考图纸。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4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圆形书架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160655</wp:posOffset>
                      </wp:positionH>
                      <wp:positionV relativeFrom="paragraph">
                        <wp:posOffset>1807845</wp:posOffset>
                      </wp:positionV>
                      <wp:extent cx="1586865" cy="1079500"/>
                      <wp:effectExtent l="0" t="0" r="13335" b="6350"/>
                      <wp:wrapNone/>
                      <wp:docPr id="13" name="图片_55"/>
                      <wp:cNvGraphicFramePr/>
                      <a:graphic xmlns:a="http://schemas.openxmlformats.org/drawingml/2006/main">
                        <a:graphicData uri="http://schemas.openxmlformats.org/drawingml/2006/picture">
                          <pic:pic xmlns:pic="http://schemas.openxmlformats.org/drawingml/2006/picture">
                            <pic:nvPicPr>
                              <pic:cNvPr id="61" name="图片_55"/>
                              <pic:cNvPicPr/>
                              <pic:nvPr/>
                            </pic:nvPicPr>
                            <pic:blipFill>
                              <a:blip r:embed="rId23"/>
                              <a:stretch/>
                            </pic:blipFill>
                            <pic:spPr bwMode="auto">
                              <a:xfrm>
                                <a:off x="0" y="0"/>
                                <a:ext cx="1586865"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12.6pt;mso-position-horizontal:absolute;mso-position-vertical-relative:text;margin-top:142.3pt;mso-position-vertical:absolute;width:124.9pt;height:85.0pt;mso-wrap-distance-left:9.0pt;mso-wrap-distance-top:0.0pt;mso-wrap-distance-right:9.0pt;mso-wrap-distance-bottom:0.0pt;" stroked="f">
                      <v:path textboxrect="0,0,0,0"/>
                      <v:imagedata r:id="rId23"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234950</wp:posOffset>
                      </wp:positionH>
                      <wp:positionV relativeFrom="paragraph">
                        <wp:posOffset>356235</wp:posOffset>
                      </wp:positionV>
                      <wp:extent cx="1573530" cy="1071245"/>
                      <wp:effectExtent l="0" t="0" r="7620" b="14604"/>
                      <wp:wrapNone/>
                      <wp:docPr id="14" name="图片_25"/>
                      <wp:cNvGraphicFramePr/>
                      <a:graphic xmlns:a="http://schemas.openxmlformats.org/drawingml/2006/main">
                        <a:graphicData uri="http://schemas.openxmlformats.org/drawingml/2006/picture">
                          <pic:pic xmlns:pic="http://schemas.openxmlformats.org/drawingml/2006/picture">
                            <pic:nvPicPr>
                              <pic:cNvPr id="62" name="图片_25"/>
                              <pic:cNvPicPr/>
                              <pic:nvPr/>
                            </pic:nvPicPr>
                            <pic:blipFill>
                              <a:blip r:embed="rId24"/>
                              <a:stretch/>
                            </pic:blipFill>
                            <pic:spPr bwMode="auto">
                              <a:xfrm>
                                <a:off x="0" y="0"/>
                                <a:ext cx="1573530" cy="1071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8.5pt;mso-position-horizontal:absolute;mso-position-vertical-relative:text;margin-top:28.0pt;mso-position-vertical:absolute;width:123.9pt;height:84.3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φ3500*H1200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1、材质：采用E0级实木多层板 ；                                                                         </w:t>
            </w:r>
            <w:r>
              <w:rPr>
                <w:rFonts w:hint="eastAsia" w:ascii="微软雅黑" w:hAnsi="微软雅黑" w:eastAsia="微软雅黑" w:cs="微软雅黑"/>
                <w:i w:val="0"/>
                <w:iCs w:val="0"/>
                <w:color w:val="000000"/>
                <w:sz w:val="18"/>
                <w:szCs w:val="18"/>
                <w:highlight w:val="none"/>
                <w:u w:val="none"/>
                <w:lang w:val="en-US" w:eastAsia="zh-CN" w:bidi="ar"/>
              </w:rPr>
              <w:t xml:space="preserve">                                               2、结构： 层板厚度为25mm，其余板材厚度为18mm。 书架分为3部分组成，最里面为φ1600mm的圆。中间为φ2400mm的三层圆形书架，第一层为封闭书架固定结构， 二三层共有8个开放空格。最外面为φ 3500*400*450mm的弧形软包坐凳，坐凳为科技布 ；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5、五金配件：采用优质品牌连接件；                                                                                  6、备注：具体细节参考图纸。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276225</wp:posOffset>
                      </wp:positionH>
                      <wp:positionV relativeFrom="paragraph">
                        <wp:posOffset>593725</wp:posOffset>
                      </wp:positionV>
                      <wp:extent cx="1518920" cy="537210"/>
                      <wp:effectExtent l="0" t="0" r="5080" b="15240"/>
                      <wp:wrapNone/>
                      <wp:docPr id="15" name="图片_10"/>
                      <wp:cNvGraphicFramePr/>
                      <a:graphic xmlns:a="http://schemas.openxmlformats.org/drawingml/2006/main">
                        <a:graphicData uri="http://schemas.openxmlformats.org/drawingml/2006/picture">
                          <pic:pic xmlns:pic="http://schemas.openxmlformats.org/drawingml/2006/picture">
                            <pic:nvPicPr>
                              <pic:cNvPr id="63" name="图片_10"/>
                              <pic:cNvPicPr/>
                              <pic:nvPr/>
                            </pic:nvPicPr>
                            <pic:blipFill>
                              <a:blip r:embed="rId25"/>
                              <a:stretch/>
                            </pic:blipFill>
                            <pic:spPr bwMode="auto">
                              <a:xfrm>
                                <a:off x="0" y="0"/>
                                <a:ext cx="151892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1.8pt;mso-position-horizontal:absolute;mso-position-vertical-relative:text;margin-top:46.8pt;mso-position-vertical:absolute;width:119.6pt;height:42.3pt;mso-wrap-distance-left:9.0pt;mso-wrap-distance-top:0.0pt;mso-wrap-distance-right:9.0pt;mso-wrap-distance-bottom:0.0pt;" stroked="f">
                      <v:path textboxrect="0,0,0,0"/>
                      <v:imagedata r:id="rId25"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1666240</wp:posOffset>
                      </wp:positionV>
                      <wp:extent cx="1552575" cy="1065530"/>
                      <wp:effectExtent l="0" t="0" r="9525" b="1270"/>
                      <wp:wrapNone/>
                      <wp:docPr id="16" name="图片_60"/>
                      <wp:cNvGraphicFramePr/>
                      <a:graphic xmlns:a="http://schemas.openxmlformats.org/drawingml/2006/main">
                        <a:graphicData uri="http://schemas.openxmlformats.org/drawingml/2006/picture">
                          <pic:pic xmlns:pic="http://schemas.openxmlformats.org/drawingml/2006/picture">
                            <pic:nvPicPr>
                              <pic:cNvPr id="64" name="图片_60"/>
                              <pic:cNvPicPr/>
                              <pic:nvPr/>
                            </pic:nvPicPr>
                            <pic:blipFill>
                              <a:blip r:embed="rId26"/>
                              <a:stretch/>
                            </pic:blipFill>
                            <pic:spPr bwMode="auto">
                              <a:xfrm>
                                <a:off x="0" y="0"/>
                                <a:ext cx="1552575"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0.2pt;mso-position-horizontal:absolute;mso-position-vertical-relative:text;margin-top:131.2pt;mso-position-vertical:absolute;width:122.2pt;height:83.9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2000*1800*760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2、办公桌结构：台面尺寸为2000*1000*50mm，台面和立板厚度为50mm；                        3、副柜结构：尺寸为1800*600*650mm，副柜台面厚度为25mm ，其余部分板材厚度为18</w:t>
            </w:r>
            <w:r>
              <w:rPr>
                <w:rFonts w:hint="eastAsia" w:ascii="微软雅黑" w:hAnsi="微软雅黑" w:eastAsia="微软雅黑" w:cs="微软雅黑"/>
                <w:i w:val="0"/>
                <w:iCs w:val="0"/>
                <w:color w:val="000000"/>
                <w:sz w:val="18"/>
                <w:szCs w:val="18"/>
                <w:highlight w:val="none"/>
                <w:u w:val="none"/>
                <w:lang w:val="en-US" w:eastAsia="zh-CN" w:bidi="ar"/>
              </w:rPr>
              <w:t xml:space="preserve">mm。左边为无门主机柜，中间为1门柜，右边为一抽一门柜做斜切拉手，具体内部结构参考图纸；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4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167640</wp:posOffset>
                      </wp:positionH>
                      <wp:positionV relativeFrom="paragraph">
                        <wp:posOffset>982345</wp:posOffset>
                      </wp:positionV>
                      <wp:extent cx="1658620" cy="1014730"/>
                      <wp:effectExtent l="0" t="0" r="17780" b="13970"/>
                      <wp:wrapNone/>
                      <wp:docPr id="17" name="图片_72"/>
                      <wp:cNvGraphicFramePr/>
                      <a:graphic xmlns:a="http://schemas.openxmlformats.org/drawingml/2006/main">
                        <a:graphicData uri="http://schemas.openxmlformats.org/drawingml/2006/picture">
                          <pic:pic xmlns:pic="http://schemas.openxmlformats.org/drawingml/2006/picture">
                            <pic:nvPicPr>
                              <pic:cNvPr id="65" name="图片_72"/>
                              <pic:cNvPicPr/>
                              <pic:nvPr/>
                            </pic:nvPicPr>
                            <pic:blipFill>
                              <a:blip r:embed="rId27"/>
                              <a:stretch/>
                            </pic:blipFill>
                            <pic:spPr bwMode="auto">
                              <a:xfrm>
                                <a:off x="0" y="0"/>
                                <a:ext cx="1658620"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3.2pt;mso-position-horizontal:absolute;mso-position-vertical-relative:text;margin-top:77.3pt;mso-position-vertical:absolute;width:130.6pt;height:79.9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2000*1800*760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numPr>
                <w:ilvl w:val="0"/>
                <w:numId w:val="3"/>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材质：采用实木多层板；                                                                                                    2、办公桌结构：台面尺寸为2000*1000*50mm，台面和立板厚度为25mm；                        3、副柜结构：尺寸为1800*600*650mm，副柜台面厚度为25mm ，其</w:t>
            </w:r>
            <w:r>
              <w:rPr>
                <w:rFonts w:hint="eastAsia" w:ascii="微软雅黑" w:hAnsi="微软雅黑" w:eastAsia="微软雅黑" w:cs="微软雅黑"/>
                <w:i w:val="0"/>
                <w:iCs w:val="0"/>
                <w:color w:val="000000"/>
                <w:sz w:val="18"/>
                <w:szCs w:val="18"/>
                <w:highlight w:val="none"/>
                <w:u w:val="none"/>
                <w:lang w:val="en-US" w:eastAsia="zh-CN" w:bidi="ar"/>
              </w:rPr>
              <w:t xml:space="preserve">余部分板材厚度为18mm。左边为无门主机柜，中间为1门柜，右边为一抽一门柜做斜切拉手 。                                                                                                                                                                                                                    </w:t>
            </w:r>
            <w:r>
              <w:rPr>
                <w:rFonts w:hint="eastAsia" w:ascii="微软雅黑" w:hAnsi="微软雅黑" w:eastAsia="微软雅黑" w:cs="微软雅黑"/>
                <w:i w:val="0"/>
                <w:iCs w:val="0"/>
                <w:color w:val="000000"/>
                <w:sz w:val="18"/>
                <w:szCs w:val="18"/>
                <w:highlight w:val="none"/>
                <w:u w:val="none"/>
                <w:lang w:val="en-US" w:eastAsia="zh-CN" w:bidi="ar"/>
              </w:rPr>
              <w:t xml:space="preserve">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w:t>
            </w:r>
            <w:r/>
          </w:p>
          <w:p>
            <w:pPr>
              <w:numPr>
                <w:ilvl w:val="0"/>
                <w:numId w:val="0"/>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53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307975</wp:posOffset>
                      </wp:positionH>
                      <wp:positionV relativeFrom="paragraph">
                        <wp:posOffset>2210435</wp:posOffset>
                      </wp:positionV>
                      <wp:extent cx="1443990" cy="986155"/>
                      <wp:effectExtent l="0" t="0" r="3810" b="4445"/>
                      <wp:wrapNone/>
                      <wp:docPr id="18" name="图片_57"/>
                      <wp:cNvGraphicFramePr/>
                      <a:graphic xmlns:a="http://schemas.openxmlformats.org/drawingml/2006/main">
                        <a:graphicData uri="http://schemas.openxmlformats.org/drawingml/2006/picture">
                          <pic:pic xmlns:pic="http://schemas.openxmlformats.org/drawingml/2006/picture">
                            <pic:nvPicPr>
                              <pic:cNvPr id="66" name="图片_57"/>
                              <pic:cNvPicPr/>
                              <pic:nvPr/>
                            </pic:nvPicPr>
                            <pic:blipFill>
                              <a:blip r:embed="rId28"/>
                              <a:stretch/>
                            </pic:blipFill>
                            <pic:spPr bwMode="auto">
                              <a:xfrm>
                                <a:off x="0" y="0"/>
                                <a:ext cx="144399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24.2pt;mso-position-horizontal:absolute;mso-position-vertical-relative:text;margin-top:174.0pt;mso-position-vertical:absolute;width:113.7pt;height:77.6pt;mso-wrap-distance-left:9.0pt;mso-wrap-distance-top:0.0pt;mso-wrap-distance-right:9.0pt;mso-wrap-distance-bottom:0.0pt;" stroked="f">
                      <v:path textboxrect="0,0,0,0"/>
                      <v:imagedata r:id="rId28"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402590</wp:posOffset>
                      </wp:positionH>
                      <wp:positionV relativeFrom="paragraph">
                        <wp:posOffset>835025</wp:posOffset>
                      </wp:positionV>
                      <wp:extent cx="1372870" cy="1035050"/>
                      <wp:effectExtent l="0" t="0" r="17780" b="12700"/>
                      <wp:wrapNone/>
                      <wp:docPr id="19" name="图片_9"/>
                      <wp:cNvGraphicFramePr/>
                      <a:graphic xmlns:a="http://schemas.openxmlformats.org/drawingml/2006/main">
                        <a:graphicData uri="http://schemas.openxmlformats.org/drawingml/2006/picture">
                          <pic:pic xmlns:pic="http://schemas.openxmlformats.org/drawingml/2006/picture">
                            <pic:nvPicPr>
                              <pic:cNvPr id="67" name="图片_9"/>
                              <pic:cNvPicPr/>
                              <pic:nvPr/>
                            </pic:nvPicPr>
                            <pic:blipFill>
                              <a:blip r:embed="rId29"/>
                              <a:stretch/>
                            </pic:blipFill>
                            <pic:spPr bwMode="auto">
                              <a:xfrm>
                                <a:off x="0" y="0"/>
                                <a:ext cx="1372870" cy="1035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31.7pt;mso-position-horizontal:absolute;mso-position-vertical-relative:text;margin-top:65.8pt;mso-position-vertical:absolute;width:108.1pt;height:81.5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1600*1600*760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2、办公桌结构：尺寸为1600*800*50mm，台面和立板厚度为50mm；                          3、副柜结构：尺寸为1600*400*650mm，副柜台面厚度为25mm ，其余部分板材厚</w:t>
            </w:r>
            <w:r>
              <w:rPr>
                <w:rFonts w:hint="eastAsia" w:ascii="微软雅黑" w:hAnsi="微软雅黑" w:eastAsia="微软雅黑" w:cs="微软雅黑"/>
                <w:i w:val="0"/>
                <w:iCs w:val="0"/>
                <w:color w:val="000000"/>
                <w:sz w:val="18"/>
                <w:szCs w:val="18"/>
                <w:highlight w:val="none"/>
                <w:u w:val="none"/>
                <w:lang w:val="en-US" w:eastAsia="zh-CN" w:bidi="ar"/>
              </w:rPr>
              <w:t xml:space="preserve">度为18mm。左边为无门主机柜，中间为2层空格柜，右边为一抽一门柜 ，具体细节参考图纸；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7、颜色：甲方指定颜色胡桃色。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w:t>
            </w:r>
            <w:r/>
          </w:p>
        </w:tc>
      </w:tr>
      <w:tr>
        <w:trPr>
          <w:trHeight w:val="6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单人组合办公桌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344805</wp:posOffset>
                      </wp:positionH>
                      <wp:positionV relativeFrom="paragraph">
                        <wp:posOffset>1504950</wp:posOffset>
                      </wp:positionV>
                      <wp:extent cx="1446530" cy="1129030"/>
                      <wp:effectExtent l="0" t="0" r="1270" b="13970"/>
                      <wp:wrapNone/>
                      <wp:docPr id="20" name="图片_2"/>
                      <wp:cNvGraphicFramePr/>
                      <a:graphic xmlns:a="http://schemas.openxmlformats.org/drawingml/2006/main">
                        <a:graphicData uri="http://schemas.openxmlformats.org/drawingml/2006/picture">
                          <pic:pic xmlns:pic="http://schemas.openxmlformats.org/drawingml/2006/picture">
                            <pic:nvPicPr>
                              <pic:cNvPr id="59" name="图片_2"/>
                              <pic:cNvPicPr/>
                              <pic:nvPr/>
                            </pic:nvPicPr>
                            <pic:blipFill>
                              <a:blip r:embed="rId30"/>
                              <a:stretch/>
                            </pic:blipFill>
                            <pic:spPr bwMode="auto">
                              <a:xfrm>
                                <a:off x="0" y="0"/>
                                <a:ext cx="1446530" cy="1129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7.1pt;mso-position-horizontal:absolute;mso-position-vertical-relative:text;margin-top:118.5pt;mso-position-vertical:absolute;width:113.9pt;height:88.9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1500*1500*1100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1、规格：1500*1500*1100mm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2基材：采用实木多层板，甲醛释放量达到E0级，符合实木多层板相应国家标准； 台面厚度≥25mm，其他部分≥18mm，长期使用不变形；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6、屏风：适配办公桌对应区域，高度 450mm，宽度匹配桌面对应，厚度≥15mm，配备优质冷轧钢框架，表面经喷塑工艺处理，防锈耐腐蚀，质感细腻，与屏风板材结合紧密，安装后稳固无晃动；采用 5mm 厚度优质钢化玻璃，持高清透明玻璃（保持办公空间通透感）或磨砂 / 雾化玻璃。</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7、预留扩线孔（孔径≥60mm，至少 1 个），孔边经精细打磨 + 同色 PVC 封边处理，光滑无毛刺，可满足电脑、插座等设备线缆有序穿引，保持桌面整洁；</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8、颜色：甲方指定颜色胡桃色。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79</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1546225</wp:posOffset>
                      </wp:positionV>
                      <wp:extent cx="1485265" cy="1265555"/>
                      <wp:effectExtent l="0" t="0" r="635" b="10795"/>
                      <wp:wrapNone/>
                      <wp:docPr id="21" name="图片_23"/>
                      <wp:cNvGraphicFramePr/>
                      <a:graphic xmlns:a="http://schemas.openxmlformats.org/drawingml/2006/main">
                        <a:graphicData uri="http://schemas.openxmlformats.org/drawingml/2006/picture">
                          <pic:pic xmlns:pic="http://schemas.openxmlformats.org/drawingml/2006/picture">
                            <pic:nvPicPr>
                              <pic:cNvPr id="58" name="图片_23"/>
                              <pic:cNvPicPr/>
                              <pic:nvPr/>
                            </pic:nvPicPr>
                            <pic:blipFill>
                              <a:blip r:embed="rId31"/>
                              <a:stretch/>
                            </pic:blipFill>
                            <pic:spPr bwMode="auto">
                              <a:xfrm>
                                <a:off x="0" y="0"/>
                                <a:ext cx="148526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6.0pt;mso-position-horizontal:absolute;mso-position-vertical-relative:text;margin-top:121.8pt;mso-position-vertical:absolute;width:116.9pt;height:99.6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673×465×670-790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1、桌面</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①材质：采用密度板贴三胺面，PP注塑封边。</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 ：673mm×465mm×20mm。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③功能：桌面前面弧形设计，靠胸前凹入设计，两边注塑鸭嘴边防止学生长期放置臂膀造成压痕；桌面板右上角有L形笔槽，横向的长笔槽295mm×20mm，竖向的短笔槽175mm×20mm，长笔槽和短笔槽各有3个漏水缝，方便清洁。                                                                                                                      2、书箱</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②尺寸：书兜规格为550*390*160mm，内空是445*360*145mm。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3、桌架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①材质：采用冷轧钢管。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                                                                       4、脚垫</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①材质：采用全新PP新料，脚套上端有4条小加强筋，可以增加胶塞的韧性，增加使用寿命；脚套底下锁自攻螺丝固定，防滑耐磨。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5、升降方式：采用螺丝升降，每个班级提供5套工具。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w: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109855</wp:posOffset>
                      </wp:positionH>
                      <wp:positionV relativeFrom="paragraph">
                        <wp:posOffset>219710</wp:posOffset>
                      </wp:positionV>
                      <wp:extent cx="1782445" cy="1717040"/>
                      <wp:effectExtent l="0" t="0" r="8255" b="16510"/>
                      <wp:wrapNone/>
                      <wp:docPr id="22" name="图片_64"/>
                      <wp:cNvGraphicFramePr/>
                      <a:graphic xmlns:a="http://schemas.openxmlformats.org/drawingml/2006/main">
                        <a:graphicData uri="http://schemas.openxmlformats.org/drawingml/2006/picture">
                          <pic:pic xmlns:pic="http://schemas.openxmlformats.org/drawingml/2006/picture">
                            <pic:nvPicPr>
                              <pic:cNvPr id="57" name="图片_64"/>
                              <pic:cNvPicPr/>
                              <pic:nvPr/>
                            </pic:nvPicPr>
                            <pic:blipFill>
                              <a:blip r:embed="rId32"/>
                              <a:stretch/>
                            </pic:blipFill>
                            <pic:spPr bwMode="auto">
                              <a:xfrm>
                                <a:off x="0" y="0"/>
                                <a:ext cx="1782445" cy="1717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8.7pt;mso-position-horizontal:absolute;mso-position-vertical-relative:text;margin-top:17.3pt;mso-position-vertical:absolute;width:140.3pt;height:135.2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1、规格：1400*600*750mm;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2、材质：E0级实木多层板+烤漆钢架；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工艺：电脑桌方管脚架50*15*1.2厚，档板冷板冲孔0.8铁片厚度，门框方管20*20*1.0厚；基料板材：树脂保护膜，四周全自动机器近色封边，台面板颜色、规格按实际需要多选定做，所有面板前后材质、颜色均匀一致。钢架结构：桌腿采用钢管材质，硬度好，稳固耐劳。喷漆工艺：桌腿和桌架采用的是喷漆的工艺更光滑手感好，不掉漆。主机隐藏功能：方便使用可锁主机箱，线路隐蔽整洁</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81</w: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67945</wp:posOffset>
                      </wp:positionH>
                      <wp:positionV relativeFrom="paragraph">
                        <wp:posOffset>1417320</wp:posOffset>
                      </wp:positionV>
                      <wp:extent cx="1878965" cy="1061085"/>
                      <wp:effectExtent l="0" t="0" r="6985" b="5715"/>
                      <wp:wrapNone/>
                      <wp:docPr id="23" name="图片_67"/>
                      <wp:cNvGraphicFramePr/>
                      <a:graphic xmlns:a="http://schemas.openxmlformats.org/drawingml/2006/main">
                        <a:graphicData uri="http://schemas.openxmlformats.org/drawingml/2006/picture">
                          <pic:pic xmlns:pic="http://schemas.openxmlformats.org/drawingml/2006/picture">
                            <pic:nvPicPr>
                              <pic:cNvPr id="56" name="图片_67"/>
                              <pic:cNvPicPr/>
                              <pic:nvPr/>
                            </pic:nvPicPr>
                            <pic:blipFill>
                              <a:blip r:embed="rId33"/>
                              <a:stretch/>
                            </pic:blipFill>
                            <pic:spPr bwMode="auto">
                              <a:xfrm>
                                <a:off x="0" y="0"/>
                                <a:ext cx="1878965" cy="1061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3pt;mso-position-horizontal:absolute;mso-position-vertical-relative:text;margin-top:111.6pt;mso-position-vertical:absolute;width:147.9pt;height:83.5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材质：桌面、桌腿、下层置物板均采用优质硬木（松木 / 橡木等），基材含水率控制在8%~12%，避免因温湿度变化导致变形、开裂；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2、工艺和结构：桌腿与桌面、置物板采用榫卯 + 镀锌螺丝双重加固结构，结合部位无缝隙、无松动，整体均匀承重≥150kg；桌腿底部配备防滑橡胶脚垫，防止滑动并保护地面。表面处理工艺：实木表面经三次精细打磨 + 三次环保喷漆处理，表面光滑无毛刺，光泽度控制在30°~50°，耐磨性能≥4000转；</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3、细节防护工艺：桌面及置物板边角采用R30</w:t>
            </w:r>
            <w:r>
              <w:rPr>
                <w:rFonts w:hint="eastAsia" w:ascii="微软雅黑" w:hAnsi="微软雅黑" w:eastAsia="微软雅黑" w:cs="微软雅黑"/>
                <w:i w:val="0"/>
                <w:iCs w:val="0"/>
                <w:color w:val="000000"/>
                <w:sz w:val="18"/>
                <w:szCs w:val="18"/>
                <w:highlight w:val="none"/>
                <w:u w:val="none"/>
                <w:lang w:val="en-US" w:eastAsia="zh-CN" w:bidi="ar"/>
              </w:rPr>
              <w:t xml:space="preserve">mm 圆角打磨，避免尖锐磕碰伤害；实木拼接缝宽度≤0.2mm，拼接处平整无高低差，整体外观无明显色差、结疤（结疤直径≤10mm 且每平方米≤2 处）；                                                                                                                                4、防潮工艺：桌腿底部做防潮封边处理，阻隔地面湿气侵蚀，延长木材使用寿命；                </w:t>
            </w:r>
            <w:r/>
          </w:p>
          <w:p>
            <w:pPr>
              <w:numPr>
                <w:ilvl w:val="0"/>
                <w:numId w:val="0"/>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5、备注:含桌垫。</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26</w:t>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讲台1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283210</wp:posOffset>
                      </wp:positionH>
                      <wp:positionV relativeFrom="paragraph">
                        <wp:posOffset>1043940</wp:posOffset>
                      </wp:positionV>
                      <wp:extent cx="1500505" cy="1007745"/>
                      <wp:effectExtent l="0" t="0" r="4445" b="1905"/>
                      <wp:wrapNone/>
                      <wp:docPr id="24" name="图片_69"/>
                      <wp:cNvGraphicFramePr/>
                      <a:graphic xmlns:a="http://schemas.openxmlformats.org/drawingml/2006/main">
                        <a:graphicData uri="http://schemas.openxmlformats.org/drawingml/2006/picture">
                          <pic:pic xmlns:pic="http://schemas.openxmlformats.org/drawingml/2006/picture">
                            <pic:nvPicPr>
                              <pic:cNvPr id="60" name="图片_69"/>
                              <pic:cNvPicPr/>
                              <pic:nvPr/>
                            </pic:nvPicPr>
                            <pic:blipFill>
                              <a:blip r:embed="rId34"/>
                              <a:stretch/>
                            </pic:blipFill>
                            <pic:spPr bwMode="auto">
                              <a:xfrm>
                                <a:off x="0" y="0"/>
                                <a:ext cx="1500504" cy="1007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2.3pt;mso-position-horizontal:absolute;mso-position-vertical-relative:text;margin-top:82.2pt;mso-position-vertical:absolute;width:118.1pt;height:79.3pt;mso-wrap-distance-left:9.0pt;mso-wrap-distance-top:0.0pt;mso-wrap-distance-right:9.0pt;mso-wrap-distance-bottom:0.0pt;" stroked="f">
                      <v:path textboxrect="0,0,0,0"/>
                      <v:imagedata r:id="rId34"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339090</wp:posOffset>
                      </wp:positionH>
                      <wp:positionV relativeFrom="paragraph">
                        <wp:posOffset>86995</wp:posOffset>
                      </wp:positionV>
                      <wp:extent cx="1395095" cy="1016000"/>
                      <wp:effectExtent l="0" t="0" r="14604" b="12700"/>
                      <wp:wrapNone/>
                      <wp:docPr id="25" name="图片_1"/>
                      <wp:cNvGraphicFramePr/>
                      <a:graphic xmlns:a="http://schemas.openxmlformats.org/drawingml/2006/main">
                        <a:graphicData uri="http://schemas.openxmlformats.org/drawingml/2006/picture">
                          <pic:pic xmlns:pic="http://schemas.openxmlformats.org/drawingml/2006/picture">
                            <pic:nvPicPr>
                              <pic:cNvPr id="55" name="图片_1"/>
                              <pic:cNvPicPr/>
                              <pic:nvPr/>
                            </pic:nvPicPr>
                            <pic:blipFill>
                              <a:blip r:embed="rId35"/>
                              <a:stretch/>
                            </pic:blipFill>
                            <pic:spPr bwMode="auto">
                              <a:xfrm>
                                <a:off x="0" y="0"/>
                                <a:ext cx="139509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26.7pt;mso-position-horizontal:absolute;mso-position-vertical-relative:text;margin-top:6.8pt;mso-position-vertical:absolute;width:109.8pt;height:80.0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1500*750*900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1、材质：实木多层板  ；                                                                                                       2、结构： 台面和立板厚度为25mm，其他的为18mm。台面配置2个φ60mm圆线盒，桌面三面围挡高度100mm；三个桌斗每个尺寸约为416*145mm；下部</w:t>
            </w:r>
            <w:r>
              <w:rPr>
                <w:rFonts w:hint="eastAsia" w:ascii="微软雅黑" w:hAnsi="微软雅黑" w:eastAsia="微软雅黑" w:cs="微软雅黑"/>
                <w:i w:val="0"/>
                <w:iCs w:val="0"/>
                <w:color w:val="000000"/>
                <w:sz w:val="18"/>
                <w:szCs w:val="18"/>
                <w:highlight w:val="none"/>
                <w:u w:val="none"/>
                <w:lang w:val="en-US" w:eastAsia="zh-CN" w:bidi="ar"/>
              </w:rPr>
              <w:t xml:space="preserve">置物层板离地面高度约为250mm，宽度约300mm，具体细节参考图纸；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5、五金配件：采用优质品牌连接件。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19</w:t>
            </w:r>
            <w:r/>
          </w:p>
        </w:tc>
      </w:tr>
      <w:tr>
        <w:trPr>
          <w:trHeight w:val="50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讲台2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1522095</wp:posOffset>
                      </wp:positionV>
                      <wp:extent cx="1381125" cy="788035"/>
                      <wp:effectExtent l="0" t="0" r="9525" b="12065"/>
                      <wp:wrapNone/>
                      <wp:docPr id="26" name="ID_271F5654608C4377990EFF0B06D09918"/>
                      <wp:cNvGraphicFramePr/>
                      <a:graphic xmlns:a="http://schemas.openxmlformats.org/drawingml/2006/main">
                        <a:graphicData uri="http://schemas.openxmlformats.org/drawingml/2006/picture">
                          <pic:pic xmlns:pic="http://schemas.openxmlformats.org/drawingml/2006/picture">
                            <pic:nvPicPr>
                              <pic:cNvPr id="54" name="ID_271F5654608C4377990EFF0B06D09918"/>
                              <pic:cNvPicPr/>
                              <pic:nvPr/>
                            </pic:nvPicPr>
                            <pic:blipFill>
                              <a:blip r:embed="rId36"/>
                              <a:stretch/>
                            </pic:blipFill>
                            <pic:spPr bwMode="auto">
                              <a:xfrm>
                                <a:off x="0" y="0"/>
                                <a:ext cx="1381125" cy="788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9.6pt;mso-position-horizontal:absolute;mso-position-vertical-relative:text;margin-top:119.8pt;mso-position-vertical:absolute;width:108.8pt;height:62.0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2000*600*780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1、材质：实木多层板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台面采用E0级25mm厚的环保饰面实木多层板，CNC雕刻一体成型，整体板面正负误差在0.3mm以内,PVC同色封边。固定台面右上角、右侧层板、右侧柜体顶底板和靠键盘抽屉一侧的侧板均留有过线孔，便于强弱电的接入；左右柜体采用踢脚板做法，左柜内置活动层板，上下可调节范围共三档，每档间隔64mm。靠人一侧均安全倒圆角；抽屉底板下方安装加强板。采用优质三节滚珠滑轨，采用免拉手设计。活动面板滑轨配优质三节滚珠滑轨，滑动顺畅。左右门板配优质缓冲铰链，采用铝合金拉手，配双门锁，更具安全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3、功能：讲台整体采用固定台面+活动台面+左右双开门储物柜+中间键盘抽的设计。多样储物空间，留有过线孔，可配电子设备使用。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高脚桌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455295</wp:posOffset>
                      </wp:positionV>
                      <wp:extent cx="1490980" cy="1114425"/>
                      <wp:effectExtent l="0" t="0" r="13970" b="9525"/>
                      <wp:wrapNone/>
                      <wp:docPr id="27" name="图片_13"/>
                      <wp:cNvGraphicFramePr/>
                      <a:graphic xmlns:a="http://schemas.openxmlformats.org/drawingml/2006/main">
                        <a:graphicData uri="http://schemas.openxmlformats.org/drawingml/2006/picture">
                          <pic:pic xmlns:pic="http://schemas.openxmlformats.org/drawingml/2006/picture">
                            <pic:nvPicPr>
                              <pic:cNvPr id="53" name="图片_13"/>
                              <pic:cNvPicPr/>
                              <pic:nvPr/>
                            </pic:nvPicPr>
                            <pic:blipFill>
                              <a:blip r:embed="rId37"/>
                              <a:stretch/>
                            </pic:blipFill>
                            <pic:spPr bwMode="auto">
                              <a:xfrm>
                                <a:off x="0" y="0"/>
                                <a:ext cx="149098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11.4pt;mso-position-horizontal:absolute;mso-position-vertical-relative:text;margin-top:35.9pt;mso-position-vertical:absolute;width:117.4pt;height:8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1200*600*1050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1、材质：采用E0级实木多层板 ；                                                                                                                        2、</w:t>
            </w:r>
            <w:r>
              <w:rPr>
                <w:rFonts w:hint="eastAsia" w:ascii="微软雅黑" w:hAnsi="微软雅黑" w:eastAsia="微软雅黑" w:cs="微软雅黑"/>
                <w:i w:val="0"/>
                <w:iCs w:val="0"/>
                <w:color w:val="000000"/>
                <w:sz w:val="18"/>
                <w:szCs w:val="18"/>
                <w:highlight w:val="none"/>
                <w:u w:val="none"/>
                <w:lang w:val="en-US" w:eastAsia="zh-CN" w:bidi="ar"/>
              </w:rPr>
              <w:t xml:space="preserve">结构： 台面和立板厚度25mm，中间下挡板尺寸为1150*400*18mm；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5、五金配件：采用优质品牌连接件。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w:t>
            </w:r>
            <w:r/>
          </w:p>
        </w:tc>
      </w:tr>
      <w:tr>
        <w:trPr>
          <w:trHeight w:val="6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发言台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1504315</wp:posOffset>
                      </wp:positionV>
                      <wp:extent cx="1404620" cy="2061845"/>
                      <wp:effectExtent l="0" t="0" r="5080" b="14604"/>
                      <wp:wrapNone/>
                      <wp:docPr id="28" name="图片_2_SpCnt_1"/>
                      <wp:cNvGraphicFramePr/>
                      <a:graphic xmlns:a="http://schemas.openxmlformats.org/drawingml/2006/main">
                        <a:graphicData uri="http://schemas.openxmlformats.org/drawingml/2006/picture">
                          <pic:pic xmlns:pic="http://schemas.openxmlformats.org/drawingml/2006/picture">
                            <pic:nvPicPr>
                              <pic:cNvPr id="52" name="图片_2_SpCnt_1"/>
                              <pic:cNvPicPr/>
                              <pic:nvPr/>
                            </pic:nvPicPr>
                            <pic:blipFill>
                              <a:blip r:embed="rId38"/>
                              <a:stretch/>
                            </pic:blipFill>
                            <pic:spPr bwMode="auto">
                              <a:xfrm>
                                <a:off x="0" y="0"/>
                                <a:ext cx="1404620" cy="206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1.1pt;mso-position-horizontal:absolute;mso-position-vertical-relative:text;margin-top:118.4pt;mso-position-vertical:absolute;width:110.6pt;height:162.3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750*1170*500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1、规格：底座长750mm× 宽450mm，台面处最大宽度700mm，主体中部收腰宽度400mm，总高度1170mm；台面进深（前后方向）500mm，主体中部垂直高度600mm，底部加宽部分宽度500mm，整体造型比例协调，适配发言场景人体工学需求。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2、材质：采用实木多层板制作，板材层间胶合强度高，具备良好的防潮性、抗变形能力，木质纹理自然美观，承重力优异，长期使用不易开裂、翘曲。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3、结构：台面设计：台面采用弧形前沿设计，边缘光滑圆润（防磕碰），既便于放置文稿、设备，又提升视觉美观度与使用舒适感。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主体造型：主体为收腰式立体结构，上部与台面自然衔接，中部收腰增强造型层次感，下部逐步加宽过渡至底座，兼顾结构稳定性与美学效果。</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底座结构：底座采用加宽设计（长 75mm×宽 45mm），增大与地面接触面积，提升整体重心稳定性，有效防止倾倒。</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4、工艺：表面处理：表面采用环保漆工艺，涂层均匀饱满、色泽一致，纹理清晰、手感光滑；漆面耐磨、耐刮，日常使用不易产生划痕；</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5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292735</wp:posOffset>
                      </wp:positionH>
                      <wp:positionV relativeFrom="paragraph">
                        <wp:posOffset>476250</wp:posOffset>
                      </wp:positionV>
                      <wp:extent cx="1616075" cy="957580"/>
                      <wp:effectExtent l="0" t="0" r="3175" b="13970"/>
                      <wp:wrapNone/>
                      <wp:docPr id="29" name="图片_12_SpCnt_1"/>
                      <wp:cNvGraphicFramePr/>
                      <a:graphic xmlns:a="http://schemas.openxmlformats.org/drawingml/2006/main">
                        <a:graphicData uri="http://schemas.openxmlformats.org/drawingml/2006/picture">
                          <pic:pic xmlns:pic="http://schemas.openxmlformats.org/drawingml/2006/picture">
                            <pic:nvPicPr>
                              <pic:cNvPr id="51" name="图片_12_SpCnt_1"/>
                              <pic:cNvPicPr/>
                              <pic:nvPr/>
                            </pic:nvPicPr>
                            <pic:blipFill>
                              <a:blip r:embed="rId39"/>
                              <a:stretch/>
                            </pic:blipFill>
                            <pic:spPr bwMode="auto">
                              <a:xfrm>
                                <a:off x="0" y="0"/>
                                <a:ext cx="1616075" cy="957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3.0pt;mso-position-horizontal:absolute;mso-position-vertical-relative:text;margin-top:37.5pt;mso-position-vertical:absolute;width:127.2pt;height:75.4pt;mso-wrap-distance-left:9.0pt;mso-wrap-distance-top:0.0pt;mso-wrap-distance-right:9.0pt;mso-wrap-distance-bottom:0.0pt;" stroked="f">
                      <v:path textboxrect="0,0,0,0"/>
                      <v:imagedata r:id="rId39"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480060</wp:posOffset>
                      </wp:positionH>
                      <wp:positionV relativeFrom="paragraph">
                        <wp:posOffset>1958340</wp:posOffset>
                      </wp:positionV>
                      <wp:extent cx="915670" cy="1207770"/>
                      <wp:effectExtent l="0" t="0" r="17780" b="11430"/>
                      <wp:wrapNone/>
                      <wp:docPr id="30" name="图片_82"/>
                      <wp:cNvGraphicFramePr/>
                      <a:graphic xmlns:a="http://schemas.openxmlformats.org/drawingml/2006/main">
                        <a:graphicData uri="http://schemas.openxmlformats.org/drawingml/2006/picture">
                          <pic:pic xmlns:pic="http://schemas.openxmlformats.org/drawingml/2006/picture">
                            <pic:nvPicPr>
                              <pic:cNvPr id="50" name="图片_82"/>
                              <pic:cNvPicPr/>
                              <pic:nvPr/>
                            </pic:nvPicPr>
                            <pic:blipFill>
                              <a:blip r:embed="rId40"/>
                              <a:stretch/>
                            </pic:blipFill>
                            <pic:spPr bwMode="auto">
                              <a:xfrm>
                                <a:off x="0" y="0"/>
                                <a:ext cx="915670" cy="1207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37.8pt;mso-position-horizontal:absolute;mso-position-vertical-relative:text;margin-top:154.2pt;mso-position-vertical:absolute;width:72.1pt;height:95.1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1400*600*760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1、材质：采用实木多层板制作，板材承重性、防潮性及抗变形能力优异，木质纹理自然美观、触感温润，长期使用不易出现开裂、鼓包等质量问题；</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2、结构：台面设计：采用大尺寸一体化设计，边缘经精致收边工艺处理，表面光滑平整，可同时承载多人文稿、设备（笔记本电脑、话筒等），承重性能强；</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柜体：为封闭式结构，正面配备菱形装饰嵌板，增强视觉层次感与装饰性；柜体与台面衔接紧密，整体线条流畅，契合会议、法庭等正式场合的庄重氛围；</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细节：各边角经圆滑打磨处理，避免尖锐棱角磕碰风险，提升使用安全性与触摸体验；</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3、工艺：表面处理：表面采用环保漆工艺，涂层均匀饱满、色泽一致，纹理清晰、手感光滑；漆面耐磨、耐刮，日常使用不易产生划痕；</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5、颜色胡桃色，侧面抠孔，易搬运。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4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311150</wp:posOffset>
                      </wp:positionV>
                      <wp:extent cx="1450975" cy="1112520"/>
                      <wp:effectExtent l="0" t="0" r="15875" b="11430"/>
                      <wp:wrapNone/>
                      <wp:docPr id="31" name="图片_28"/>
                      <wp:cNvGraphicFramePr/>
                      <a:graphic xmlns:a="http://schemas.openxmlformats.org/drawingml/2006/main">
                        <a:graphicData uri="http://schemas.openxmlformats.org/drawingml/2006/picture">
                          <pic:pic xmlns:pic="http://schemas.openxmlformats.org/drawingml/2006/picture">
                            <pic:nvPicPr>
                              <pic:cNvPr id="49" name="图片_28"/>
                              <pic:cNvPicPr/>
                              <pic:nvPr/>
                            </pic:nvPicPr>
                            <pic:blipFill>
                              <a:blip r:embed="rId41"/>
                              <a:stretch/>
                            </pic:blipFill>
                            <pic:spPr bwMode="auto">
                              <a:xfrm>
                                <a:off x="0" y="0"/>
                                <a:ext cx="1450975" cy="111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4.8pt;mso-position-horizontal:absolute;mso-position-vertical-relative:text;margin-top:24.5pt;mso-position-vertical:absolute;width:114.2pt;height:87.6pt;mso-wrap-distance-left:9.0pt;mso-wrap-distance-top:0.0pt;mso-wrap-distance-right:9.0pt;mso-wrap-distance-bottom:0.0pt;" stroked="f">
                      <v:path textboxrect="0,0,0,0"/>
                      <v:imagedata r:id="rId41"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342265</wp:posOffset>
                      </wp:positionH>
                      <wp:positionV relativeFrom="paragraph">
                        <wp:posOffset>1860550</wp:posOffset>
                      </wp:positionV>
                      <wp:extent cx="1362710" cy="1097280"/>
                      <wp:effectExtent l="0" t="0" r="8890" b="7620"/>
                      <wp:wrapNone/>
                      <wp:docPr id="32" name="图片_63"/>
                      <wp:cNvGraphicFramePr/>
                      <a:graphic xmlns:a="http://schemas.openxmlformats.org/drawingml/2006/main">
                        <a:graphicData uri="http://schemas.openxmlformats.org/drawingml/2006/picture">
                          <pic:pic xmlns:pic="http://schemas.openxmlformats.org/drawingml/2006/picture">
                            <pic:nvPicPr>
                              <pic:cNvPr id="48" name="图片_63"/>
                              <pic:cNvPicPr/>
                              <pic:nvPr/>
                            </pic:nvPicPr>
                            <pic:blipFill>
                              <a:blip r:embed="rId42"/>
                              <a:stretch/>
                            </pic:blipFill>
                            <pic:spPr bwMode="auto">
                              <a:xfrm>
                                <a:off x="0" y="0"/>
                                <a:ext cx="1362710" cy="1097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26.9pt;mso-position-horizontal:absolute;mso-position-vertical-relative:text;margin-top:146.5pt;mso-position-vertical:absolute;width:107.3pt;height:86.4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800*400*2400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2、结构：层板厚度为25mm，立板和背板厚度为18mm，3顶为一组文件柜。具体内部结构参考图纸；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w:t>
            </w:r>
            <w:r>
              <w:rPr>
                <w:rFonts w:hint="eastAsia" w:ascii="微软雅黑" w:hAnsi="微软雅黑" w:eastAsia="微软雅黑" w:cs="微软雅黑"/>
                <w:i w:val="0"/>
                <w:iCs w:val="0"/>
                <w:color w:val="000000"/>
                <w:sz w:val="18"/>
                <w:szCs w:val="18"/>
                <w:highlight w:val="none"/>
                <w:u w:val="none"/>
                <w:lang w:val="en-US" w:eastAsia="zh-CN" w:bidi="ar"/>
              </w:rPr>
              <w:t xml:space="preserve">采用优质2.0mmPVC同色封边条封边；                                                                                                                                                                    5、五金配件：采用优质品牌三节导轨、阻尼铰链、锁具，轨道在负重条件下，可连续滑动5万次不损坏，承重重量可达45公斤。铰链，能开合8-12万次无故</w:t>
            </w:r>
            <w:r>
              <w:rPr>
                <w:rFonts w:hint="eastAsia" w:ascii="微软雅黑" w:hAnsi="微软雅黑" w:eastAsia="微软雅黑" w:cs="微软雅黑"/>
                <w:i w:val="0"/>
                <w:iCs w:val="0"/>
                <w:color w:val="000000"/>
                <w:sz w:val="18"/>
                <w:szCs w:val="18"/>
                <w:highlight w:val="none"/>
                <w:u w:val="none"/>
                <w:lang w:val="en-US" w:eastAsia="zh-CN" w:bidi="ar"/>
              </w:rPr>
              <w:t xml:space="preserve">障，无声响，使用寿命长。拉手款式新颖，手感好，耐用，使用寿命长；                                                                                                                            6、玻璃：符合国家标准钢化玻璃（5mm），带3C标识。                                                                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41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文件柜2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261620</wp:posOffset>
                      </wp:positionH>
                      <wp:positionV relativeFrom="paragraph">
                        <wp:posOffset>635000</wp:posOffset>
                      </wp:positionV>
                      <wp:extent cx="1478280" cy="1613535"/>
                      <wp:effectExtent l="0" t="0" r="7620" b="5715"/>
                      <wp:wrapNone/>
                      <wp:docPr id="33" name="图片_73"/>
                      <wp:cNvGraphicFramePr/>
                      <a:graphic xmlns:a="http://schemas.openxmlformats.org/drawingml/2006/main">
                        <a:graphicData uri="http://schemas.openxmlformats.org/drawingml/2006/picture">
                          <pic:pic xmlns:pic="http://schemas.openxmlformats.org/drawingml/2006/picture">
                            <pic:nvPicPr>
                              <pic:cNvPr id="47" name="图片_73"/>
                              <pic:cNvPicPr/>
                              <pic:nvPr/>
                            </pic:nvPicPr>
                            <pic:blipFill>
                              <a:blip r:embed="rId43"/>
                              <a:stretch/>
                            </pic:blipFill>
                            <pic:spPr bwMode="auto">
                              <a:xfrm>
                                <a:off x="0" y="0"/>
                                <a:ext cx="1478280" cy="1613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20.6pt;mso-position-horizontal:absolute;mso-position-vertical-relative:text;margin-top:50.0pt;mso-position-vertical:absolute;width:116.4pt;height:127.0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2000*400*2000</w:t>
            </w:r>
            <w:r/>
          </w:p>
        </w:tc>
        <w:tc>
          <w:tcPr>
            <w:shd w:val="clear" w:color="auto" w:fill="ffffff"/>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2、结构：层板厚度为25mm，立板和背板厚度为18mm，3顶为一组文件柜。具体内部结构参考图纸；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w:t>
            </w:r>
            <w:r>
              <w:rPr>
                <w:rFonts w:hint="eastAsia" w:ascii="微软雅黑" w:hAnsi="微软雅黑" w:eastAsia="微软雅黑" w:cs="微软雅黑"/>
                <w:i w:val="0"/>
                <w:iCs w:val="0"/>
                <w:color w:val="000000"/>
                <w:sz w:val="18"/>
                <w:szCs w:val="18"/>
                <w:highlight w:val="none"/>
                <w:u w:val="none"/>
                <w:lang w:val="en-US" w:eastAsia="zh-CN" w:bidi="ar"/>
              </w:rPr>
              <w:t xml:space="preserve">、封边条：采用优质2.0mmPVC同色封边条封边；                                                                                                                                                                    5、五金配件：采用优质品牌三节导轨、阻尼铰链、锁具，轨道在负重条件下，可连续滑动5万次不损坏，承重重量可达45公斤。铰链，能开合8-1</w:t>
            </w:r>
            <w:r>
              <w:rPr>
                <w:rFonts w:hint="eastAsia" w:ascii="微软雅黑" w:hAnsi="微软雅黑" w:eastAsia="微软雅黑" w:cs="微软雅黑"/>
                <w:i w:val="0"/>
                <w:iCs w:val="0"/>
                <w:color w:val="000000"/>
                <w:sz w:val="18"/>
                <w:szCs w:val="18"/>
                <w:highlight w:val="none"/>
                <w:u w:val="none"/>
                <w:lang w:val="en-US" w:eastAsia="zh-CN" w:bidi="ar"/>
              </w:rPr>
              <w:t xml:space="preserve">2万次无故障，无声响，使用寿命长。拉手款式新颖，手感好，耐用，使用寿命长；                                                                                                                            6、玻璃：符合国家标准钢化玻璃（5mm），带3C标识；                                                           7、颜色甲方指定。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40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文件柜3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598805</wp:posOffset>
                      </wp:positionH>
                      <wp:positionV relativeFrom="paragraph">
                        <wp:posOffset>515620</wp:posOffset>
                      </wp:positionV>
                      <wp:extent cx="736600" cy="1698625"/>
                      <wp:effectExtent l="0" t="0" r="6350" b="15875"/>
                      <wp:wrapNone/>
                      <wp:docPr id="34" name="图片_5"/>
                      <wp:cNvGraphicFramePr/>
                      <a:graphic xmlns:a="http://schemas.openxmlformats.org/drawingml/2006/main">
                        <a:graphicData uri="http://schemas.openxmlformats.org/drawingml/2006/picture">
                          <pic:pic xmlns:pic="http://schemas.openxmlformats.org/drawingml/2006/picture">
                            <pic:nvPicPr>
                              <pic:cNvPr id="46" name="图片_5"/>
                              <pic:cNvPicPr/>
                              <pic:nvPr/>
                            </pic:nvPicPr>
                            <pic:blipFill>
                              <a:blip r:embed="rId44"/>
                              <a:stretch/>
                            </pic:blipFill>
                            <pic:spPr bwMode="auto">
                              <a:xfrm>
                                <a:off x="0" y="0"/>
                                <a:ext cx="736600" cy="169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47.1pt;mso-position-horizontal:absolute;mso-position-vertical-relative:text;margin-top:40.6pt;mso-position-vertical:absolute;width:58.0pt;height:133.8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2、结构：层板厚度为25mm，立板和背板厚度为18mm。上面两扇铝为合金玻璃门，内置2层活动层板，下面为两扇双开门木门，内置一层活动层板；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                                                                                                                            6、颜色：甲方指定颜色胡桃色。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22</w:t>
            </w:r>
            <w:r/>
          </w:p>
        </w:tc>
      </w:tr>
      <w:tr>
        <w:trPr>
          <w:trHeight w:val="45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71755</wp:posOffset>
                      </wp:positionH>
                      <wp:positionV relativeFrom="paragraph">
                        <wp:posOffset>765175</wp:posOffset>
                      </wp:positionV>
                      <wp:extent cx="1848485" cy="364490"/>
                      <wp:effectExtent l="0" t="0" r="18415" b="16510"/>
                      <wp:wrapNone/>
                      <wp:docPr id="35" name="图片_6_SpCnt_1"/>
                      <wp:cNvGraphicFramePr/>
                      <a:graphic xmlns:a="http://schemas.openxmlformats.org/drawingml/2006/main">
                        <a:graphicData uri="http://schemas.openxmlformats.org/drawingml/2006/picture">
                          <pic:pic xmlns:pic="http://schemas.openxmlformats.org/drawingml/2006/picture">
                            <pic:nvPicPr>
                              <pic:cNvPr id="45" name="图片_6_SpCnt_1"/>
                              <pic:cNvPicPr/>
                              <pic:nvPr/>
                            </pic:nvPicPr>
                            <pic:blipFill>
                              <a:blip r:embed="rId45"/>
                              <a:stretch/>
                            </pic:blipFill>
                            <pic:spPr bwMode="auto">
                              <a:xfrm>
                                <a:off x="0" y="0"/>
                                <a:ext cx="1848485" cy="364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5.6pt;mso-position-horizontal:absolute;mso-position-vertical-relative:text;margin-top:60.2pt;mso-position-vertical:absolute;width:145.5pt;height:28.7pt;mso-wrap-distance-left:9.0pt;mso-wrap-distance-top:0.0pt;mso-wrap-distance-right:9.0pt;mso-wrap-distance-bottom:0.0pt;" stroked="f">
                      <v:path textboxrect="0,0,0,0"/>
                      <v:imagedata r:id="rId45"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324485</wp:posOffset>
                      </wp:positionH>
                      <wp:positionV relativeFrom="paragraph">
                        <wp:posOffset>1652270</wp:posOffset>
                      </wp:positionV>
                      <wp:extent cx="1362710" cy="864235"/>
                      <wp:effectExtent l="0" t="0" r="8890" b="12065"/>
                      <wp:wrapNone/>
                      <wp:docPr id="36" name="图片_61"/>
                      <wp:cNvGraphicFramePr/>
                      <a:graphic xmlns:a="http://schemas.openxmlformats.org/drawingml/2006/main">
                        <a:graphicData uri="http://schemas.openxmlformats.org/drawingml/2006/picture">
                          <pic:pic xmlns:pic="http://schemas.openxmlformats.org/drawingml/2006/picture">
                            <pic:nvPicPr>
                              <pic:cNvPr id="44" name="图片_61"/>
                              <pic:cNvPicPr/>
                              <pic:nvPr/>
                            </pic:nvPicPr>
                            <pic:blipFill>
                              <a:blip r:embed="rId46"/>
                              <a:stretch/>
                            </pic:blipFill>
                            <pic:spPr bwMode="auto">
                              <a:xfrm>
                                <a:off x="0" y="0"/>
                                <a:ext cx="136271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25.5pt;mso-position-horizontal:absolute;mso-position-vertical-relative:text;margin-top:130.1pt;mso-position-vertical:absolute;width:107.3pt;height:68.0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7000*2200*750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1、材质：采用E0级中密度板；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2、封边：采用实木皮封边，封边厚度≧0.6mm。封边应严密、平整、不允许脱胶、表面有胶渍，倒棱、圆角、圆线应均匀一致，自装配拆装产品零件结合应牢固严密；                  3、结构：台面厚度90mm，中间拼接设计并配多媒体线盒。会议桌两头配检修门方便穿线维修，柜脚四面缩进台面350mm，方便椅子整齐摆放，具体细节参考图纸；</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4、油漆：采用环保优质油漆，标准厚度为0.5mm，底着色，五底三面油漆工艺，清晰体现实木质感；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5、五金配件：采用优质连接件，含8个多功能线盒；</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6、胶水：环保白乳胶，不含甲醛；                                                                                                7、颜色：胡桃色。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230505</wp:posOffset>
                      </wp:positionH>
                      <wp:positionV relativeFrom="paragraph">
                        <wp:posOffset>600710</wp:posOffset>
                      </wp:positionV>
                      <wp:extent cx="1580515" cy="887095"/>
                      <wp:effectExtent l="0" t="0" r="635" b="8255"/>
                      <wp:wrapNone/>
                      <wp:docPr id="37" name="图片_79"/>
                      <wp:cNvGraphicFramePr/>
                      <a:graphic xmlns:a="http://schemas.openxmlformats.org/drawingml/2006/main">
                        <a:graphicData uri="http://schemas.openxmlformats.org/drawingml/2006/picture">
                          <pic:pic xmlns:pic="http://schemas.openxmlformats.org/drawingml/2006/picture">
                            <pic:nvPicPr>
                              <pic:cNvPr id="43" name="图片_79"/>
                              <pic:cNvPicPr/>
                              <pic:nvPr/>
                            </pic:nvPicPr>
                            <pic:blipFill>
                              <a:blip r:embed="rId47"/>
                              <a:stretch/>
                            </pic:blipFill>
                            <pic:spPr bwMode="auto">
                              <a:xfrm>
                                <a:off x="0" y="0"/>
                                <a:ext cx="158051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8.1pt;mso-position-horizontal:absolute;mso-position-vertical-relative:text;margin-top:47.3pt;mso-position-vertical:absolute;width:124.4pt;height:69.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5600*1800*760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2、结构：台面厚度为25mm，台面为四块板拼接组成，台面和钢架由三组50*20*1.8mm的口字型钢管连接而成，具体细节参考图纸 ；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w:t>
            </w:r>
            <w:r>
              <w:rPr>
                <w:rFonts w:hint="eastAsia" w:ascii="微软雅黑" w:hAnsi="微软雅黑" w:eastAsia="微软雅黑" w:cs="微软雅黑"/>
                <w:i w:val="0"/>
                <w:iCs w:val="0"/>
                <w:color w:val="000000"/>
                <w:sz w:val="18"/>
                <w:szCs w:val="18"/>
                <w:highlight w:val="none"/>
                <w:u w:val="none"/>
                <w:lang w:val="en-US" w:eastAsia="zh-CN" w:bidi="ar"/>
              </w:rPr>
              <w:t xml:space="preserve">；                                                                                                                                                                                                                                                               </w:t>
            </w:r>
            <w:r>
              <w:rPr>
                <w:rFonts w:hint="eastAsia" w:ascii="微软雅黑" w:hAnsi="微软雅黑" w:eastAsia="微软雅黑" w:cs="微软雅黑"/>
                <w:i w:val="0"/>
                <w:iCs w:val="0"/>
                <w:color w:val="000000"/>
                <w:sz w:val="18"/>
                <w:szCs w:val="18"/>
                <w:highlight w:val="none"/>
                <w:u w:val="none"/>
                <w:lang w:val="en-US" w:eastAsia="zh-CN" w:bidi="ar"/>
              </w:rPr>
              <w:t xml:space="preserve">                                                                                                                                                                                                                              5、钢架：定制钢架，壁厚1.8mm。经酸洗、磷化处理后粉末静电喷涂。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4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838200</wp:posOffset>
                      </wp:positionV>
                      <wp:extent cx="1580515" cy="887095"/>
                      <wp:effectExtent l="0" t="0" r="635" b="8255"/>
                      <wp:wrapNone/>
                      <wp:docPr id="38" name="图片_32"/>
                      <wp:cNvGraphicFramePr/>
                      <a:graphic xmlns:a="http://schemas.openxmlformats.org/drawingml/2006/main">
                        <a:graphicData uri="http://schemas.openxmlformats.org/drawingml/2006/picture">
                          <pic:pic xmlns:pic="http://schemas.openxmlformats.org/drawingml/2006/picture">
                            <pic:nvPicPr>
                              <pic:cNvPr id="42" name="图片_32"/>
                              <pic:cNvPicPr/>
                              <pic:nvPr/>
                            </pic:nvPicPr>
                            <pic:blipFill>
                              <a:blip r:embed="rId47"/>
                              <a:stretch/>
                            </pic:blipFill>
                            <pic:spPr bwMode="auto">
                              <a:xfrm>
                                <a:off x="0" y="0"/>
                                <a:ext cx="158051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4.2pt;mso-position-horizontal:absolute;mso-position-vertical-relative:text;margin-top:66.0pt;mso-position-vertical:absolute;width:124.4pt;height:69.8pt;mso-wrap-distance-left:9.0pt;mso-wrap-distance-top:0.0pt;mso-wrap-distance-right:9.0pt;mso-wrap-distance-bottom:0.0pt;" stroked="f">
                      <v:path textboxrect="0,0,0,0"/>
                      <v:imagedata r:id="rId47"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2096770</wp:posOffset>
                      </wp:positionV>
                      <wp:extent cx="1610995" cy="789305"/>
                      <wp:effectExtent l="0" t="0" r="8255" b="10795"/>
                      <wp:wrapNone/>
                      <wp:docPr id="39" name="图片_62"/>
                      <wp:cNvGraphicFramePr/>
                      <a:graphic xmlns:a="http://schemas.openxmlformats.org/drawingml/2006/main">
                        <a:graphicData uri="http://schemas.openxmlformats.org/drawingml/2006/picture">
                          <pic:pic xmlns:pic="http://schemas.openxmlformats.org/drawingml/2006/picture">
                            <pic:nvPicPr>
                              <pic:cNvPr id="41" name="图片_62"/>
                              <pic:cNvPicPr/>
                              <pic:nvPr/>
                            </pic:nvPicPr>
                            <pic:blipFill>
                              <a:blip r:embed="rId48"/>
                              <a:stretch/>
                            </pic:blipFill>
                            <pic:spPr bwMode="auto">
                              <a:xfrm>
                                <a:off x="0" y="0"/>
                                <a:ext cx="1610995" cy="789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15.0pt;mso-position-horizontal:absolute;mso-position-vertical-relative:text;margin-top:165.1pt;mso-position-vertical:absolute;width:126.8pt;height:62.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8000*2000*750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1、材质：采用E0级中密度板；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2、封边：采用实木皮封边，封边厚度≧0.6mm。封边应严密、平整、不允许脱胶、表面有胶渍，倒棱、圆角、圆线应均匀一致，自装配拆装产品零件结合应牢固严密；                  3、结构：台面厚度50mm，中间拼色设计并配多媒体线盒。会议桌两头柜脚尺寸1500*400*710mm，两边带门方便穿线维修，柜脚四面缩进台面250mm，方便椅子整齐摆放。中间4个立柱脚尺寸为1500*50*710mm贯穿设计，方便中间走线，下挡板尺寸为1600*410*18mm，8块拼接组成，具体细节参考图纸；</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4、油漆：采用环保优质油漆，标准厚度为0.5mm，底着色，五底三面油漆工艺，清晰体现实木质感；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5、五金配件：采用优质连接件，含6个多功能线盒；</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6、胶水：环保白乳胶，不含甲醛。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27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会议桌4</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229235</wp:posOffset>
                      </wp:positionH>
                      <wp:positionV relativeFrom="paragraph">
                        <wp:posOffset>906780</wp:posOffset>
                      </wp:positionV>
                      <wp:extent cx="1565275" cy="972820"/>
                      <wp:effectExtent l="0" t="0" r="15875" b="17780"/>
                      <wp:wrapNone/>
                      <wp:docPr id="40" name="图片_85"/>
                      <wp:cNvGraphicFramePr/>
                      <a:graphic xmlns:a="http://schemas.openxmlformats.org/drawingml/2006/main">
                        <a:graphicData uri="http://schemas.openxmlformats.org/drawingml/2006/picture">
                          <pic:pic xmlns:pic="http://schemas.openxmlformats.org/drawingml/2006/picture">
                            <pic:nvPicPr>
                              <pic:cNvPr id="40" name="图片_85"/>
                              <pic:cNvPicPr/>
                              <pic:nvPr/>
                            </pic:nvPicPr>
                            <pic:blipFill>
                              <a:blip r:embed="rId49"/>
                              <a:stretch/>
                            </pic:blipFill>
                            <pic:spPr bwMode="auto">
                              <a:xfrm>
                                <a:off x="0" y="0"/>
                                <a:ext cx="1565275"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8.1pt;mso-position-horizontal:absolute;mso-position-vertical-relative:text;margin-top:71.4pt;mso-position-vertical:absolute;width:123.2pt;height:76.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4500*1500*760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2、结构：台面厚度为25mm，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w:t>
            </w:r>
            <w:r>
              <w:rPr>
                <w:rFonts w:hint="eastAsia" w:ascii="微软雅黑" w:hAnsi="微软雅黑" w:eastAsia="微软雅黑" w:cs="微软雅黑"/>
                <w:i w:val="0"/>
                <w:iCs w:val="0"/>
                <w:color w:val="000000"/>
                <w:sz w:val="18"/>
                <w:szCs w:val="18"/>
                <w:highlight w:val="none"/>
                <w:u w:val="none"/>
                <w:lang w:val="en-US" w:eastAsia="zh-CN" w:bidi="ar"/>
              </w:rPr>
              <w:t xml:space="preserve">；                                                                                                                                                                                                                                                               </w:t>
            </w:r>
            <w:r>
              <w:rPr>
                <w:rFonts w:hint="eastAsia" w:ascii="微软雅黑" w:hAnsi="微软雅黑" w:eastAsia="微软雅黑" w:cs="微软雅黑"/>
                <w:i w:val="0"/>
                <w:iCs w:val="0"/>
                <w:color w:val="000000"/>
                <w:sz w:val="18"/>
                <w:szCs w:val="18"/>
                <w:highlight w:val="none"/>
                <w:u w:val="none"/>
                <w:lang w:val="en-US" w:eastAsia="zh-CN" w:bidi="ar"/>
              </w:rPr>
              <w:t xml:space="preserve">                                                                                                                                                                                                                              5、钢架：定制钢架，壁厚1.8mm。经酸洗、磷化处理后粉末静电喷涂。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阅朗桌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925830</wp:posOffset>
                      </wp:positionV>
                      <wp:extent cx="1536065" cy="766445"/>
                      <wp:effectExtent l="0" t="0" r="6985" b="14604"/>
                      <wp:wrapNone/>
                      <wp:docPr id="41" name="图片_19"/>
                      <wp:cNvGraphicFramePr/>
                      <a:graphic xmlns:a="http://schemas.openxmlformats.org/drawingml/2006/main">
                        <a:graphicData uri="http://schemas.openxmlformats.org/drawingml/2006/picture">
                          <pic:pic xmlns:pic="http://schemas.openxmlformats.org/drawingml/2006/picture">
                            <pic:nvPicPr>
                              <pic:cNvPr id="39" name="图片_19"/>
                              <pic:cNvPicPr/>
                              <pic:nvPr/>
                            </pic:nvPicPr>
                            <pic:blipFill>
                              <a:blip r:embed="rId50"/>
                              <a:stretch/>
                            </pic:blipFill>
                            <pic:spPr bwMode="auto">
                              <a:xfrm>
                                <a:off x="0" y="0"/>
                                <a:ext cx="1536065" cy="766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15.8pt;mso-position-horizontal:absolute;mso-position-vertical-relative:text;margin-top:72.9pt;mso-position-vertical:absolute;width:120.9pt;height:60.3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2400*1000*760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2、封边：采用实木皮封边，封边厚度≧0.6mm。封边应严密、平整、不允许脱胶、表面有胶渍，倒棱、圆角、圆线应均匀一致，自装配拆装产品零件结合应牢固严密；</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3、油漆：采用环保优质油漆，标准厚度为0.5mm，底着色，五底三面油漆工艺，清晰体现实木质感；                                                                                                                  4、结构：榫卯结构组成，台面厚度50mm,腿尺寸为40*50mm，台面下面加一个横档；</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4、五金配件：采用优质连接件；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5、胶水：环保白乳胶，不含甲醛。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475615</wp:posOffset>
                      </wp:positionH>
                      <wp:positionV relativeFrom="paragraph">
                        <wp:posOffset>172720</wp:posOffset>
                      </wp:positionV>
                      <wp:extent cx="838835" cy="904875"/>
                      <wp:effectExtent l="0" t="0" r="18415" b="9525"/>
                      <wp:wrapNone/>
                      <wp:docPr id="42" name="图片_15"/>
                      <wp:cNvGraphicFramePr/>
                      <a:graphic xmlns:a="http://schemas.openxmlformats.org/drawingml/2006/main">
                        <a:graphicData uri="http://schemas.openxmlformats.org/drawingml/2006/picture">
                          <pic:pic xmlns:pic="http://schemas.openxmlformats.org/drawingml/2006/picture">
                            <pic:nvPicPr>
                              <pic:cNvPr id="38" name="图片_15"/>
                              <pic:cNvPicPr/>
                              <pic:nvPr/>
                            </pic:nvPicPr>
                            <pic:blipFill>
                              <a:blip r:embed="rId51"/>
                              <a:stretch/>
                            </pic:blipFill>
                            <pic:spPr bwMode="auto">
                              <a:xfrm>
                                <a:off x="0" y="0"/>
                                <a:ext cx="83883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37.4pt;mso-position-horizontal:absolute;mso-position-vertical-relative:text;margin-top:13.6pt;mso-position-vertical:absolute;width:66.0pt;height:71.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φ600*H750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1、基材：采用E0级实木多层板，浸渍胶膜纸饰面，表面平整，桌面板厚度≥25mm；                                                                               2、封边：采用2mm厚ABS封边条，表面光滑、花纹清晰、无漏印现象；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3、桌架：采用≥1.5mm厚金属铁板；立柱直径50MM,底下圆盘直径450，配重10KG,表面采用静电喷涂粉末工艺。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285115</wp:posOffset>
                      </wp:positionH>
                      <wp:positionV relativeFrom="paragraph">
                        <wp:posOffset>59055</wp:posOffset>
                      </wp:positionV>
                      <wp:extent cx="1331595" cy="1009015"/>
                      <wp:effectExtent l="0" t="0" r="1905" b="635"/>
                      <wp:wrapNone/>
                      <wp:docPr id="43" name="图片_71"/>
                      <wp:cNvGraphicFramePr/>
                      <a:graphic xmlns:a="http://schemas.openxmlformats.org/drawingml/2006/main">
                        <a:graphicData uri="http://schemas.openxmlformats.org/drawingml/2006/picture">
                          <pic:pic xmlns:pic="http://schemas.openxmlformats.org/drawingml/2006/picture">
                            <pic:nvPicPr>
                              <pic:cNvPr id="37" name="图片_71"/>
                              <pic:cNvPicPr/>
                              <pic:nvPr/>
                            </pic:nvPicPr>
                            <pic:blipFill>
                              <a:blip r:embed="rId52"/>
                              <a:stretch/>
                            </pic:blipFill>
                            <pic:spPr bwMode="auto">
                              <a:xfrm>
                                <a:off x="0" y="0"/>
                                <a:ext cx="133159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22.4pt;mso-position-horizontal:absolute;mso-position-vertical-relative:text;margin-top:4.6pt;mso-position-vertical:absolute;width:104.8pt;height:79.5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φ600*550mm</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2、工艺：采用国家标准E0级板，厚度25mm,基材采用优质多层板，面贴优质三聚氰胺纸，断面采用优质2.0mmPVC同色封边条封边制作；底座采用一体射出成型泡棉，内嵌框架。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5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条桌1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1252220</wp:posOffset>
                      </wp:positionV>
                      <wp:extent cx="1553210" cy="1339850"/>
                      <wp:effectExtent l="0" t="0" r="8890" b="12700"/>
                      <wp:wrapNone/>
                      <wp:docPr id="44" name="图片_78"/>
                      <wp:cNvGraphicFramePr/>
                      <a:graphic xmlns:a="http://schemas.openxmlformats.org/drawingml/2006/main">
                        <a:graphicData uri="http://schemas.openxmlformats.org/drawingml/2006/picture">
                          <pic:pic xmlns:pic="http://schemas.openxmlformats.org/drawingml/2006/picture">
                            <pic:nvPicPr>
                              <pic:cNvPr id="36" name="图片_78"/>
                              <pic:cNvPicPr/>
                              <pic:nvPr/>
                            </pic:nvPicPr>
                            <pic:blipFill>
                              <a:blip r:embed="rId53"/>
                              <a:stretch/>
                            </pic:blipFill>
                            <pic:spPr bwMode="auto">
                              <a:xfrm>
                                <a:off x="0" y="0"/>
                                <a:ext cx="1553210" cy="133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3.4pt;mso-position-horizontal:absolute;mso-position-vertical-relative:text;margin-top:98.6pt;mso-position-vertical:absolute;width:122.3pt;height:105.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2、结构：台面厚度25MM，下挡板尺寸1100*400*18  ，可台面折叠收纳；                                                                                                                                     3、饰面：采用三聚氰胺浸渍纸饰面，耐磨、防火、不褪色</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5、脚架：1）脚管：采用30*70MM  八角管 冷轧钢管（壁厚1.2MM)  表面再经防锈静电喷涂处理，实用牢固，承受力大。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2）底脚：采用优质冷轧钢板拉伸折弯而成（壁厚足2.0MM)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3）连接杆：采用φ45MM优质圆形冷轧钢管（壁厚足1.2MM)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4）上托：采用3.0MM壁厚优质冷轧钢板经冲压折弯工艺而成                                         5）书网：采用13优质圆形钢管  壁厚0.8  (书网长度跟随定制尺寸变化）</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6）脚轮：采用φ50MM优质尼龙材质，万向带刹车轮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7）书网：支架采用的pp塑料                                                                                             8）连接件：台面下配连接扣2个可左右固定造型，调整台面平整度；                                    </w:t>
            </w:r>
            <w:r>
              <w:rPr>
                <w:rFonts w:hint="eastAsia" w:ascii="微软雅黑" w:hAnsi="微软雅黑" w:eastAsia="微软雅黑" w:cs="微软雅黑"/>
                <w:i w:val="0"/>
                <w:iCs w:val="0"/>
                <w:color w:val="000000"/>
                <w:sz w:val="18"/>
                <w:szCs w:val="18"/>
                <w:highlight w:val="none"/>
                <w:u w:val="none"/>
                <w:lang w:val="en-US" w:eastAsia="zh-CN" w:bidi="ar"/>
              </w:rPr>
              <w:t xml:space="preserve">                                                                                                                                  6、五金配件：采用优质连接件；                                                                                                      7、颜色：胡桃色。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28</w:t>
            </w:r>
            <w:r/>
          </w:p>
        </w:tc>
      </w:tr>
      <w:tr>
        <w:trPr>
          <w:trHeight w:val="6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条桌2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204470</wp:posOffset>
                      </wp:positionH>
                      <wp:positionV relativeFrom="paragraph">
                        <wp:posOffset>1412240</wp:posOffset>
                      </wp:positionV>
                      <wp:extent cx="1553210" cy="1339850"/>
                      <wp:effectExtent l="0" t="0" r="8890" b="12700"/>
                      <wp:wrapNone/>
                      <wp:docPr id="45" name="图片_77"/>
                      <wp:cNvGraphicFramePr/>
                      <a:graphic xmlns:a="http://schemas.openxmlformats.org/drawingml/2006/main">
                        <a:graphicData uri="http://schemas.openxmlformats.org/drawingml/2006/picture">
                          <pic:pic xmlns:pic="http://schemas.openxmlformats.org/drawingml/2006/picture">
                            <pic:nvPicPr>
                              <pic:cNvPr id="35" name="图片_77"/>
                              <pic:cNvPicPr/>
                              <pic:nvPr/>
                            </pic:nvPicPr>
                            <pic:blipFill>
                              <a:blip r:embed="rId53"/>
                              <a:stretch/>
                            </pic:blipFill>
                            <pic:spPr bwMode="auto">
                              <a:xfrm>
                                <a:off x="0" y="0"/>
                                <a:ext cx="1553210" cy="133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6.1pt;mso-position-horizontal:absolute;mso-position-vertical-relative:text;margin-top:111.2pt;mso-position-vertical:absolute;width:122.3pt;height:105.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1400*550*760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2、结构：台面厚度25MM，下挡板尺寸1200*400*18  ，可台面折叠收纳；                                                                                                                                     3、饰面：采用三聚氰胺浸渍纸饰面，耐磨、防火、不褪色</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5、脚架：1）脚管：采用30*70MM  八角管 冷轧钢管（壁厚1.2MM)  表面再经防锈静电喷涂处理，实用牢固，承受力大。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2）底脚：采用优质冷轧钢板拉伸折弯而成（壁厚足2.0MM)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3）连接杆：采用φ45MM优质圆形冷轧钢管（壁厚足1.2MM)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4）上托：采用3.0MM壁厚优质冷轧钢板经冲压折弯工艺而成                                         5）书网：采用13优质圆形钢管  壁厚0.8  (书网长度跟随定制尺寸变化）</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6）脚轮：采用φ50MM优质尼龙材质，万向带刹车轮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7）书网：支架采用的pp塑料                                                                                             8）连接件：台面下配连接扣2个可左右固定造型，调整台面平整度；                                    </w:t>
            </w:r>
            <w:r>
              <w:rPr>
                <w:rFonts w:hint="eastAsia" w:ascii="微软雅黑" w:hAnsi="微软雅黑" w:eastAsia="微软雅黑" w:cs="微软雅黑"/>
                <w:i w:val="0"/>
                <w:iCs w:val="0"/>
                <w:color w:val="000000"/>
                <w:sz w:val="18"/>
                <w:szCs w:val="18"/>
                <w:highlight w:val="none"/>
                <w:u w:val="none"/>
                <w:lang w:val="en-US" w:eastAsia="zh-CN" w:bidi="ar"/>
              </w:rPr>
              <w:t xml:space="preserve">                                                                                                                                  6、五金配件：采用优质连接件；                                                                                                      7、颜色：胡桃色。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52</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b/>
                <w:bCs/>
                <w:i w:val="0"/>
                <w:iCs w:val="0"/>
                <w:color w:val="000000"/>
                <w:sz w:val="18"/>
                <w:szCs w:val="18"/>
                <w:highlight w:val="none"/>
                <w:u w:val="none"/>
              </w:rPr>
              <w:suppressLineNumbers w:val="0"/>
            </w:pPr>
            <w:r>
              <w:rPr>
                <w:rFonts w:hint="eastAsia" w:ascii="微软雅黑" w:hAnsi="微软雅黑" w:eastAsia="微软雅黑" w:cs="微软雅黑"/>
                <w:b/>
                <w:bCs/>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351155</wp:posOffset>
                      </wp:positionH>
                      <wp:positionV relativeFrom="paragraph">
                        <wp:posOffset>862330</wp:posOffset>
                      </wp:positionV>
                      <wp:extent cx="1283970" cy="593090"/>
                      <wp:effectExtent l="0" t="0" r="11430" b="16510"/>
                      <wp:wrapNone/>
                      <wp:docPr id="46" name="图片_76"/>
                      <wp:cNvGraphicFramePr/>
                      <a:graphic xmlns:a="http://schemas.openxmlformats.org/drawingml/2006/main">
                        <a:graphicData uri="http://schemas.openxmlformats.org/drawingml/2006/picture">
                          <pic:pic xmlns:pic="http://schemas.openxmlformats.org/drawingml/2006/picture">
                            <pic:nvPicPr>
                              <pic:cNvPr id="34" name="图片_76"/>
                              <pic:cNvPicPr/>
                              <pic:nvPr/>
                            </pic:nvPicPr>
                            <pic:blipFill>
                              <a:blip r:embed="rId54"/>
                              <a:stretch/>
                            </pic:blipFill>
                            <pic:spPr bwMode="auto">
                              <a:xfrm>
                                <a:off x="0" y="0"/>
                                <a:ext cx="1283970" cy="593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27.6pt;mso-position-horizontal:absolute;mso-position-vertical-relative:text;margin-top:67.9pt;mso-position-vertical:absolute;width:101.1pt;height:46.7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2、结构：台面厚度为25mm，台面镶嵌在钢架里；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w:t>
            </w:r>
            <w:r>
              <w:rPr>
                <w:rFonts w:hint="eastAsia" w:ascii="微软雅黑" w:hAnsi="微软雅黑" w:eastAsia="微软雅黑" w:cs="微软雅黑"/>
                <w:i w:val="0"/>
                <w:iCs w:val="0"/>
                <w:color w:val="000000"/>
                <w:sz w:val="18"/>
                <w:szCs w:val="18"/>
                <w:highlight w:val="none"/>
                <w:u w:val="none"/>
                <w:lang w:val="en-US" w:eastAsia="zh-CN" w:bidi="ar"/>
              </w:rPr>
              <w:t xml:space="preserve">                                                                                                                                                                                                                     5、钢架：定制钢架，壁厚1.8mm。经酸洗、磷化处理后粉末静电喷涂。7、颜色甲方指定。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w:t>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547370</wp:posOffset>
                      </wp:positionH>
                      <wp:positionV relativeFrom="paragraph">
                        <wp:posOffset>229235</wp:posOffset>
                      </wp:positionV>
                      <wp:extent cx="1000125" cy="1419225"/>
                      <wp:effectExtent l="0" t="0" r="9525" b="9525"/>
                      <wp:wrapNone/>
                      <wp:docPr id="47" name="图片_74"/>
                      <wp:cNvGraphicFramePr/>
                      <a:graphic xmlns:a="http://schemas.openxmlformats.org/drawingml/2006/main">
                        <a:graphicData uri="http://schemas.openxmlformats.org/drawingml/2006/picture">
                          <pic:pic xmlns:pic="http://schemas.openxmlformats.org/drawingml/2006/picture">
                            <pic:nvPicPr>
                              <pic:cNvPr id="33" name="图片_74"/>
                              <pic:cNvPicPr/>
                              <pic:nvPr/>
                            </pic:nvPicPr>
                            <pic:blipFill>
                              <a:blip r:embed="rId55"/>
                              <a:stretch/>
                            </pic:blipFill>
                            <pic:spPr bwMode="auto">
                              <a:xfrm>
                                <a:off x="0" y="0"/>
                                <a:ext cx="1000125" cy="141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43.1pt;mso-position-horizontal:absolute;mso-position-vertical-relative:text;margin-top:18.1pt;mso-position-vertical:absolute;width:78.8pt;height:111.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660*620*1040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1、背框：腰背分离设计，尼龙+玻璃纤维注塑配件，一体成型，椅背符合人体工学设计 2、扶手：T型黑色固定扶手                                                                                                              3、坐垫：40密度原生高弹切割海绵，带装饰坐壳</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4、脚架：2.0壁厚25#钢管电镀弓形架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2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505460</wp:posOffset>
                      </wp:positionH>
                      <wp:positionV relativeFrom="paragraph">
                        <wp:posOffset>135890</wp:posOffset>
                      </wp:positionV>
                      <wp:extent cx="1088390" cy="1630045"/>
                      <wp:effectExtent l="0" t="0" r="16510" b="8255"/>
                      <wp:wrapNone/>
                      <wp:docPr id="48" name="图片_1_SpCnt_1"/>
                      <wp:cNvGraphicFramePr/>
                      <a:graphic xmlns:a="http://schemas.openxmlformats.org/drawingml/2006/main">
                        <a:graphicData uri="http://schemas.openxmlformats.org/drawingml/2006/picture">
                          <pic:pic xmlns:pic="http://schemas.openxmlformats.org/drawingml/2006/picture">
                            <pic:nvPicPr>
                              <pic:cNvPr id="32" name="图片_1_SpCnt_1"/>
                              <pic:cNvPicPr/>
                              <pic:nvPr/>
                            </pic:nvPicPr>
                            <pic:blipFill>
                              <a:blip r:embed="rId56"/>
                              <a:stretch/>
                            </pic:blipFill>
                            <pic:spPr bwMode="auto">
                              <a:xfrm>
                                <a:off x="0" y="0"/>
                                <a:ext cx="1088390" cy="163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39.8pt;mso-position-horizontal:absolute;mso-position-vertical-relative:text;margin-top:10.7pt;mso-position-vertical:absolute;width:85.7pt;height:128.3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580*580*1010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1、材质：定制黑色尼龙背框；扪高回弹网布+55高密度定型海绵坐垫+定制尼龙扶手背框连接+黑色喷涂弓形架壁厚2.0mm；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2.0mm*25管电镀架，漆面厚可更强效防刮、防潮、防生锈、耐强酸碱，加厚管壁结实稳固，可承受250KG重；靠背：采用定制黑色尼龙PP加纤，靠背面料为环保透气优质高弹性网布；坐垫：55高密度高回弹定型海绵座包，柔软透气性强；                      3、扶手：尼龙连体PP扶手背框连接，稳固耐磨耐刮；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4、五金配件：采用优质国产品牌五金配件。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89</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356870</wp:posOffset>
                      </wp:positionH>
                      <wp:positionV relativeFrom="paragraph">
                        <wp:posOffset>65405</wp:posOffset>
                      </wp:positionV>
                      <wp:extent cx="1270000" cy="1696720"/>
                      <wp:effectExtent l="0" t="0" r="6350" b="17780"/>
                      <wp:wrapNone/>
                      <wp:docPr id="49" name="图片_86"/>
                      <wp:cNvGraphicFramePr/>
                      <a:graphic xmlns:a="http://schemas.openxmlformats.org/drawingml/2006/main">
                        <a:graphicData uri="http://schemas.openxmlformats.org/drawingml/2006/picture">
                          <pic:pic xmlns:pic="http://schemas.openxmlformats.org/drawingml/2006/picture">
                            <pic:nvPicPr>
                              <pic:cNvPr id="31" name="图片_86"/>
                              <pic:cNvPicPr/>
                              <pic:nvPr/>
                            </pic:nvPicPr>
                            <pic:blipFill>
                              <a:blip r:embed="rId57"/>
                              <a:stretch/>
                            </pic:blipFill>
                            <pic:spPr bwMode="auto">
                              <a:xfrm>
                                <a:off x="0" y="0"/>
                                <a:ext cx="1270000" cy="169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28.1pt;mso-position-horizontal:absolute;mso-position-vertical-relative:text;margin-top:5.1pt;mso-position-vertical:absolute;width:100.0pt;height:133.6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560*460*850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1、面料：优质耐磨网饰面，高级耐磨弹力绒布座饰面；</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2、座包：一体成型定型海绵，永不变形，高级耐磨弹力绒布座饰面；</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3、靠背：采用黑色全新料加纤框架，透气网布，可活动逍遥；</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4、架子：1.5mm厚度黑色烤漆弓形架。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248</w:t>
            </w:r>
            <w:r/>
          </w:p>
        </w:tc>
      </w:tr>
      <w:tr>
        <w:trPr>
          <w:trHeight w:val="3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426720</wp:posOffset>
                      </wp:positionH>
                      <wp:positionV relativeFrom="paragraph">
                        <wp:posOffset>336550</wp:posOffset>
                      </wp:positionV>
                      <wp:extent cx="1122045" cy="1685925"/>
                      <wp:effectExtent l="0" t="0" r="1905" b="9525"/>
                      <wp:wrapNone/>
                      <wp:docPr id="50" name="图片_7"/>
                      <wp:cNvGraphicFramePr/>
                      <a:graphic xmlns:a="http://schemas.openxmlformats.org/drawingml/2006/main">
                        <a:graphicData uri="http://schemas.openxmlformats.org/drawingml/2006/picture">
                          <pic:pic xmlns:pic="http://schemas.openxmlformats.org/drawingml/2006/picture">
                            <pic:nvPicPr>
                              <pic:cNvPr id="30" name="图片_7"/>
                              <pic:cNvPicPr/>
                              <pic:nvPr/>
                            </pic:nvPicPr>
                            <pic:blipFill>
                              <a:blip r:embed="rId58"/>
                              <a:stretch/>
                            </pic:blipFill>
                            <pic:spPr bwMode="auto">
                              <a:xfrm>
                                <a:off x="0" y="0"/>
                                <a:ext cx="1122045" cy="168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33.6pt;mso-position-horizontal:absolute;mso-position-vertical-relative:text;margin-top:26.5pt;mso-position-vertical:absolute;width:88.3pt;height:132.8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640*700*1000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1、面料：采用优质超细纤维增强PU皮革,厚度≥1.5mm，具有优异的耐磨、耐寒、透气、耐老化性能。颜色为黑色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2、海棉：采用一次成型高回弹海棉，密度≥32kg/m³。厚实、弹性好，表面涂防止老化变形的保护膜，确保5年内不会出现弹不起现象。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3、椅架：采用优质橡胶木实木制作，背板采用优质15mm厚夹板，用一次热成型技术,牢固且使用寿命长；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4、油漆：采用环保油漆，标准厚度为0.5mm，底着色，五底三面油漆工艺，清晰体现实木质感；                                                                                                                                                    5、颜色：黑胡桃色。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42</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386715</wp:posOffset>
                      </wp:positionH>
                      <wp:positionV relativeFrom="paragraph">
                        <wp:posOffset>659130</wp:posOffset>
                      </wp:positionV>
                      <wp:extent cx="965835" cy="1275715"/>
                      <wp:effectExtent l="0" t="0" r="5715" b="635"/>
                      <wp:wrapNone/>
                      <wp:docPr id="51" name="图片_14"/>
                      <wp:cNvGraphicFramePr/>
                      <a:graphic xmlns:a="http://schemas.openxmlformats.org/drawingml/2006/main">
                        <a:graphicData uri="http://schemas.openxmlformats.org/drawingml/2006/picture">
                          <pic:pic xmlns:pic="http://schemas.openxmlformats.org/drawingml/2006/picture">
                            <pic:nvPicPr>
                              <pic:cNvPr id="29" name="图片_14"/>
                              <pic:cNvPicPr/>
                              <pic:nvPr/>
                            </pic:nvPicPr>
                            <pic:blipFill>
                              <a:blip r:embed="rId59"/>
                              <a:stretch/>
                            </pic:blipFill>
                            <pic:spPr bwMode="auto">
                              <a:xfrm>
                                <a:off x="0" y="0"/>
                                <a:ext cx="965835" cy="1275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30.4pt;mso-position-horizontal:absolute;mso-position-vertical-relative:text;margin-top:51.9pt;mso-position-vertical:absolute;width:76.0pt;height:100.4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500*520*840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1、材质：椅身全新工程聚丙pp+GF30材质一体成型，椅架采用优质Q235冷轧钢管，整张椅子承重150kg；</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2、椅身：坐宽420mm,坐深440mm。全新工程聚丙pp+GF30材质一体成型，圆润边缘设计，避免磕碰刮伤，提升使用安全性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3、椅架：采用木纹热转印工艺,40mm*20mm优质Q235冷轧钢管，壁厚1.1mm，抗磨损更好，且纹路更清晰，容易打理清洗，四腿框架配合横向支撑横杆，结构稳定，不易摇晃、侧翻。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w:t>
            </w:r>
            <w:r/>
          </w:p>
        </w:tc>
      </w:tr>
      <w:tr>
        <w:trPr>
          <w:trHeight w:val="7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课椅</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1323340</wp:posOffset>
                      </wp:positionV>
                      <wp:extent cx="1632585" cy="1544320"/>
                      <wp:effectExtent l="0" t="0" r="5715" b="17780"/>
                      <wp:wrapNone/>
                      <wp:docPr id="52" name="图片_24"/>
                      <wp:cNvGraphicFramePr/>
                      <a:graphic xmlns:a="http://schemas.openxmlformats.org/drawingml/2006/main">
                        <a:graphicData uri="http://schemas.openxmlformats.org/drawingml/2006/picture">
                          <pic:pic xmlns:pic="http://schemas.openxmlformats.org/drawingml/2006/picture">
                            <pic:nvPicPr>
                              <pic:cNvPr id="28" name="图片_24"/>
                              <pic:cNvPicPr/>
                              <pic:nvPr/>
                            </pic:nvPicPr>
                            <pic:blipFill>
                              <a:blip r:embed="rId60"/>
                              <a:stretch/>
                            </pic:blipFill>
                            <pic:spPr bwMode="auto">
                              <a:xfrm>
                                <a:off x="0" y="0"/>
                                <a:ext cx="1632585" cy="154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4.2pt;mso-position-horizontal:absolute;mso-position-vertical-relative:text;margin-top:104.2pt;mso-position-vertical:absolute;width:128.5pt;height:121.6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430×585×780-840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1、椅座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①材质：采用全新PP新料；椅座底部，横条的加强筋有3条，竖条的加强筋有3条。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②尺寸：426mm×420mm；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③功能：椅座有222个长条形通风口 ，保持通风干爽。</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2、椅背</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②尺寸：400mm×310mm；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③功能：椅背有178个长条形通风口 ，保持通风干爽。                                                                                   3、椅架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①材质：椅架采用冷轧钢管。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脚掌和立柱外管是1.2mm厚60mm*33mm的管，管的长边处有宽度27mm的加强筋；立柱内管1.2mm厚50mm*28mm的管，管的长边处有宽度23mm的加强筋；脚掌+立柱内外管的长边处有加强筋，使产品能承重更多更安全，横梁是1.0mm的管，椅座背支撑架1.2mm厚直径25mm的圆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4、脚垫</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①材质：采用全新PP新料，脚套上端有4条小加强筋，可以增加胶塞的韧性，增加使用寿命；脚套底下锁自攻螺丝固定，防滑耐磨。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5、升降方式：采用螺丝升降，每个班级提供5套工具。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451485</wp:posOffset>
                      </wp:positionH>
                      <wp:positionV relativeFrom="paragraph">
                        <wp:posOffset>473075</wp:posOffset>
                      </wp:positionV>
                      <wp:extent cx="1000125" cy="1156335"/>
                      <wp:effectExtent l="0" t="0" r="9525" b="5715"/>
                      <wp:wrapNone/>
                      <wp:docPr id="53" name="图片_6_SpCnt_2"/>
                      <wp:cNvGraphicFramePr/>
                      <a:graphic xmlns:a="http://schemas.openxmlformats.org/drawingml/2006/main">
                        <a:graphicData uri="http://schemas.openxmlformats.org/drawingml/2006/picture">
                          <pic:pic xmlns:pic="http://schemas.openxmlformats.org/drawingml/2006/picture">
                            <pic:nvPicPr>
                              <pic:cNvPr id="27" name="图片_6_SpCnt_2"/>
                              <pic:cNvPicPr/>
                              <pic:nvPr/>
                            </pic:nvPicPr>
                            <pic:blipFill>
                              <a:blip r:embed="rId61"/>
                              <a:stretch/>
                            </pic:blipFill>
                            <pic:spPr bwMode="auto">
                              <a:xfrm>
                                <a:off x="0" y="0"/>
                                <a:ext cx="1000125" cy="115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35.5pt;mso-position-horizontal:absolute;mso-position-vertical-relative:text;margin-top:37.2pt;mso-position-vertical:absolute;width:78.8pt;height:91.0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260*360*450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1、材质：实木多层板；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2、工艺和结构：凳面厚度为25mm厚的环保饰面实木多层板，凳架采用20*40*1.8mm矩形管焊接成型制作。椅架表面除油除锈后静电粉末喷塑处理。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52</w:t>
            </w:r>
            <w:r/>
          </w:p>
        </w:tc>
      </w:tr>
      <w:tr>
        <w:trPr>
          <w:trHeight w:val="6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防静电电脑椅</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408305</wp:posOffset>
                      </wp:positionH>
                      <wp:positionV relativeFrom="paragraph">
                        <wp:posOffset>1126490</wp:posOffset>
                      </wp:positionV>
                      <wp:extent cx="1186815" cy="1391285"/>
                      <wp:effectExtent l="0" t="0" r="13335" b="18415"/>
                      <wp:wrapNone/>
                      <wp:docPr id="54" name="图片_19_SpCnt_1"/>
                      <wp:cNvGraphicFramePr/>
                      <a:graphic xmlns:a="http://schemas.openxmlformats.org/drawingml/2006/main">
                        <a:graphicData uri="http://schemas.openxmlformats.org/drawingml/2006/picture">
                          <pic:pic xmlns:pic="http://schemas.openxmlformats.org/drawingml/2006/picture">
                            <pic:nvPicPr>
                              <pic:cNvPr id="26" name="图片_19_SpCnt_1"/>
                              <pic:cNvPicPr/>
                              <pic:nvPr/>
                            </pic:nvPicPr>
                            <pic:blipFill>
                              <a:blip r:embed="rId62"/>
                              <a:stretch/>
                            </pic:blipFill>
                            <pic:spPr bwMode="auto">
                              <a:xfrm>
                                <a:off x="0" y="0"/>
                                <a:ext cx="1186815" cy="13912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32.1pt;mso-position-horizontal:absolute;mso-position-vertical-relative:text;margin-top:88.7pt;mso-position-vertical:absolute;width:93.4pt;height:109.5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240*330*450mm</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1、规格：整体外形尺寸为24cm（长）×33cm（宽）×45cm（高），适配计算机教室空间布局及使用需求。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2、材质：主体框架：采用优质冷轧钢，保证结构强度与承重性能。凳面：采用防静电面板（防静电 HPL 高压装饰耐火板，厚度≥0.8mm），具备稳定的防静电性能，满足计算机教室静电防护要求。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3、结构：采用钢架四腿支撑结构，搭配横向加强梁形成稳固框架，增强整体稳定性，有效避免晃动。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凳面与钢架紧密连接，结构设计科学合理，确保承重能力不低于 50kg，满足日常使用强度。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4、工艺：钢架部分经酸洗磷化 + 静电喷塑工艺处理，表面光滑平整，防锈、耐腐蚀性能优异，可长期在教室环境下使用。防静电凳面采用一体化成型工艺，表面无瑕疵、平整度高，且防静电性能持久稳定；凳面与钢架的连接工艺牢固可靠，保障使用过程中结构的一致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162</w:t>
            </w:r>
            <w:r/>
          </w:p>
        </w:tc>
      </w:tr>
      <w:tr>
        <w:trPr>
          <w:trHeight w:val="4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261620</wp:posOffset>
                      </wp:positionH>
                      <wp:positionV relativeFrom="paragraph">
                        <wp:posOffset>872490</wp:posOffset>
                      </wp:positionV>
                      <wp:extent cx="1392555" cy="1401445"/>
                      <wp:effectExtent l="0" t="0" r="17145" b="8255"/>
                      <wp:wrapNone/>
                      <wp:docPr id="55" name="图片_200"/>
                      <wp:cNvGraphicFramePr/>
                      <a:graphic xmlns:a="http://schemas.openxmlformats.org/drawingml/2006/main">
                        <a:graphicData uri="http://schemas.openxmlformats.org/drawingml/2006/picture">
                          <pic:pic xmlns:pic="http://schemas.openxmlformats.org/drawingml/2006/picture">
                            <pic:nvPicPr>
                              <pic:cNvPr id="25" name="图片_200"/>
                              <pic:cNvPicPr/>
                              <pic:nvPr/>
                            </pic:nvPicPr>
                            <pic:blipFill>
                              <a:blip r:embed="rId63"/>
                              <a:stretch/>
                            </pic:blipFill>
                            <pic:spPr bwMode="auto">
                              <a:xfrm>
                                <a:off x="0" y="0"/>
                                <a:ext cx="1392555"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20.6pt;mso-position-horizontal:absolute;mso-position-vertical-relative:text;margin-top:68.7pt;mso-position-vertical:absolute;width:109.6pt;height:110.3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1、饰面：采用厚度≧0.6mm胡桃木木皮贴面，无节疤、腐朽、裂纹、 虫眼、夹皮、变色等缺陷，用于同一件产品的木皮颜色、纹纹理一致，木纹清晰；</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2、基材：采用中密度板，甲醛释放量达到E0级，符合国家标准；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3、结构：台面厚度25mm，其余16mm，左边单开木门内含一层活动层板，左边上部门为玻璃对开门，左边下部为两个抽屉；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4、封边：采用实木皮封边，封边厚度≧0.6mm。封边应严密、平整、不允许脱胶、表面有胶渍，倒棱、圆角、圆线应均匀一致；</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5、油漆：采用环保油漆，标准厚度为0.5mm，底着色，五底三面油漆工艺，清晰体现实木质感。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6、胶水：环保白乳胶，不含甲醛；                                                                                                                            7、颜色：黑胡桃色。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r>
      <w:tr>
        <w:trPr>
          <w:trHeight w:val="3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351790</wp:posOffset>
                      </wp:positionH>
                      <wp:positionV relativeFrom="paragraph">
                        <wp:posOffset>695325</wp:posOffset>
                      </wp:positionV>
                      <wp:extent cx="1259205" cy="960755"/>
                      <wp:effectExtent l="0" t="0" r="17145" b="10795"/>
                      <wp:wrapNone/>
                      <wp:docPr id="56" name="图片_17"/>
                      <wp:cNvGraphicFramePr/>
                      <a:graphic xmlns:a="http://schemas.openxmlformats.org/drawingml/2006/main">
                        <a:graphicData uri="http://schemas.openxmlformats.org/drawingml/2006/picture">
                          <pic:pic xmlns:pic="http://schemas.openxmlformats.org/drawingml/2006/picture">
                            <pic:nvPicPr>
                              <pic:cNvPr id="24" name="图片_17"/>
                              <pic:cNvPicPr/>
                              <pic:nvPr/>
                            </pic:nvPicPr>
                            <pic:blipFill>
                              <a:blip r:embed="rId64"/>
                              <a:stretch/>
                            </pic:blipFill>
                            <pic:spPr bwMode="auto">
                              <a:xfrm>
                                <a:off x="0" y="0"/>
                                <a:ext cx="1259205"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27.7pt;mso-position-horizontal:absolute;mso-position-vertical-relative:text;margin-top:54.8pt;mso-position-vertical:absolute;width:99.1pt;height:75.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1000*400*860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2、结构：台面厚度为25mm，其余厚度18mm。左边为单扇木门，内含一活动层板，右边为三个抽屉，拉手是斜切免拉手；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w:t>
            </w:r>
            <w:r>
              <w:rPr>
                <w:rFonts w:hint="eastAsia" w:ascii="微软雅黑" w:hAnsi="微软雅黑" w:eastAsia="微软雅黑" w:cs="微软雅黑"/>
                <w:i w:val="0"/>
                <w:iCs w:val="0"/>
                <w:color w:val="000000"/>
                <w:sz w:val="18"/>
                <w:szCs w:val="18"/>
                <w:highlight w:val="none"/>
                <w:u w:val="none"/>
                <w:lang w:val="en-US" w:eastAsia="zh-CN" w:bidi="ar"/>
              </w:rPr>
              <w:t xml:space="preserve">PVC同色封边条封边；                                                                                                                                                                    5、五金配件：采用优质品牌三节导轨、阻尼铰链、轨道在负重条件下，可连续滑动5万次不损坏，承重重量可达45公斤。铰链，能开合8-12万次无故障，无声响，使用寿命长。</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235585</wp:posOffset>
                      </wp:positionH>
                      <wp:positionV relativeFrom="paragraph">
                        <wp:posOffset>658495</wp:posOffset>
                      </wp:positionV>
                      <wp:extent cx="1307465" cy="1246505"/>
                      <wp:effectExtent l="0" t="0" r="6985" b="10795"/>
                      <wp:wrapNone/>
                      <wp:docPr id="57" name="图片_5_SpCnt_1"/>
                      <wp:cNvGraphicFramePr/>
                      <a:graphic xmlns:a="http://schemas.openxmlformats.org/drawingml/2006/main">
                        <a:graphicData uri="http://schemas.openxmlformats.org/drawingml/2006/picture">
                          <pic:pic xmlns:pic="http://schemas.openxmlformats.org/drawingml/2006/picture">
                            <pic:nvPicPr>
                              <pic:cNvPr id="23" name="图片_5_SpCnt_1"/>
                              <pic:cNvPicPr/>
                              <pic:nvPr/>
                            </pic:nvPicPr>
                            <pic:blipFill>
                              <a:blip r:embed="rId65"/>
                              <a:stretch/>
                            </pic:blipFill>
                            <pic:spPr bwMode="auto">
                              <a:xfrm>
                                <a:off x="0" y="0"/>
                                <a:ext cx="1307465" cy="1246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8.6pt;mso-position-horizontal:absolute;mso-position-vertical-relative:text;margin-top:51.8pt;mso-position-vertical:absolute;width:102.9pt;height:98.1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2、结构：台面厚度为25mm，其余厚度18mm。双开玻璃门内置一层活动层板，下段为两个抽屉；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5、五金配件：采用优质品牌三</w:t>
            </w:r>
            <w:r>
              <w:rPr>
                <w:rFonts w:hint="eastAsia" w:ascii="微软雅黑" w:hAnsi="微软雅黑" w:eastAsia="微软雅黑" w:cs="微软雅黑"/>
                <w:i w:val="0"/>
                <w:iCs w:val="0"/>
                <w:color w:val="000000"/>
                <w:sz w:val="18"/>
                <w:szCs w:val="18"/>
                <w:highlight w:val="none"/>
                <w:u w:val="none"/>
                <w:lang w:val="en-US" w:eastAsia="zh-CN" w:bidi="ar"/>
              </w:rPr>
              <w:t xml:space="preserve">节导轨、阻尼铰链、锁具，轨道在负重条件下，可连续滑动5万次不损坏，承重重量可达45公斤。铰链，能开合8-12万次无故障，无声响，使用寿命长。拉手款式新颖，手感好，耐用，使用寿命长；                                                                                                                            6、玻璃：符合国家标准钢化玻璃（5mm），带3C标识。7、颜色：甲方指定颜色胡桃色。</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11</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三人沙发1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top"/>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514350</wp:posOffset>
                      </wp:positionV>
                      <wp:extent cx="1817370" cy="1026160"/>
                      <wp:effectExtent l="0" t="0" r="11430" b="2540"/>
                      <wp:wrapNone/>
                      <wp:docPr id="58" name="图片_96"/>
                      <wp:cNvGraphicFramePr/>
                      <a:graphic xmlns:a="http://schemas.openxmlformats.org/drawingml/2006/main">
                        <a:graphicData uri="http://schemas.openxmlformats.org/drawingml/2006/picture">
                          <pic:pic xmlns:pic="http://schemas.openxmlformats.org/drawingml/2006/picture">
                            <pic:nvPicPr>
                              <pic:cNvPr id="22" name="图片_96"/>
                              <pic:cNvPicPr/>
                              <pic:nvPr/>
                            </pic:nvPicPr>
                            <pic:blipFill>
                              <a:blip r:embed="rId66"/>
                              <a:stretch/>
                            </pic:blipFill>
                            <pic:spPr bwMode="auto">
                              <a:xfrm>
                                <a:off x="0" y="0"/>
                                <a:ext cx="1817370" cy="1026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13.5pt;mso-position-horizontal:absolute;mso-position-vertical-relative:text;margin-top:40.5pt;mso-position-vertical:absolute;width:143.1pt;height:80.8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2120*890*830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1、面料：采用优质西皮，厚度≥1.5mm，手感柔软、细腻、有韧性；富有弹性，颜色为黑色；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4、脚：不锈钢镀金脚。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三人沙发2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469900</wp:posOffset>
                      </wp:positionV>
                      <wp:extent cx="1619250" cy="1217930"/>
                      <wp:effectExtent l="0" t="0" r="0" b="1270"/>
                      <wp:wrapNone/>
                      <wp:docPr id="59" name="图片_31"/>
                      <wp:cNvGraphicFramePr/>
                      <a:graphic xmlns:a="http://schemas.openxmlformats.org/drawingml/2006/main">
                        <a:graphicData uri="http://schemas.openxmlformats.org/drawingml/2006/picture">
                          <pic:pic xmlns:pic="http://schemas.openxmlformats.org/drawingml/2006/picture">
                            <pic:nvPicPr>
                              <pic:cNvPr id="21" name="图片_31"/>
                              <pic:cNvPicPr/>
                              <pic:nvPr/>
                            </pic:nvPicPr>
                            <pic:blipFill>
                              <a:blip r:embed="rId67"/>
                              <a:stretch/>
                            </pic:blipFill>
                            <pic:spPr bwMode="auto">
                              <a:xfrm>
                                <a:off x="0" y="0"/>
                                <a:ext cx="1619250" cy="1217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12.0pt;mso-position-horizontal:absolute;mso-position-vertical-relative:text;margin-top:37.0pt;mso-position-vertical:absolute;width:127.5pt;height:95.9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2040*850*820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1、面料：采用优质西皮，厚度大于1.5mm，手感柔软、细腻、有韧性；富有弹性，颜色为黑色；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4、沙发脚：采用≥1.5mm厚金属管；表面采用静电喷涂粉末工艺。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单人沙发</w:t>
            </w:r>
            <w:r/>
          </w:p>
        </w:tc>
        <w:tc>
          <w:tcPr>
            <w:shd w:val="clear" w:color="auto" w:fill="auto"/>
            <w:tcBorders>
              <w:top w:val="single" w:color="000000" w:sz="4" w:space="0"/>
              <w:left w:val="single" w:color="000000" w:sz="4" w:space="0"/>
              <w:bottom w:val="non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904875</wp:posOffset>
                      </wp:positionV>
                      <wp:extent cx="1514475" cy="1252220"/>
                      <wp:effectExtent l="0" t="0" r="9525" b="5080"/>
                      <wp:wrapNone/>
                      <wp:docPr id="60" name="图片_97"/>
                      <wp:cNvGraphicFramePr/>
                      <a:graphic xmlns:a="http://schemas.openxmlformats.org/drawingml/2006/main">
                        <a:graphicData uri="http://schemas.openxmlformats.org/drawingml/2006/picture">
                          <pic:pic xmlns:pic="http://schemas.openxmlformats.org/drawingml/2006/picture">
                            <pic:nvPicPr>
                              <pic:cNvPr id="20" name="图片_97"/>
                              <pic:cNvPicPr/>
                              <pic:nvPr/>
                            </pic:nvPicPr>
                            <pic:blipFill>
                              <a:blip r:embed="rId68"/>
                              <a:stretch/>
                            </pic:blipFill>
                            <pic:spPr bwMode="auto">
                              <a:xfrm>
                                <a:off x="0" y="0"/>
                                <a:ext cx="1514475"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8.8pt;mso-position-horizontal:absolute;mso-position-vertical-relative:text;margin-top:71.2pt;mso-position-vertical:absolute;width:119.2pt;height:98.6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1220*890*830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1、面料：采用优质西皮，厚度≥1.5mm，手感柔软、细腻、有韧性；富有弹性，颜色为黑色；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4、脚：不锈钢镀金脚。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847725</wp:posOffset>
                      </wp:positionV>
                      <wp:extent cx="1456055" cy="400685"/>
                      <wp:effectExtent l="0" t="0" r="10795" b="18415"/>
                      <wp:wrapNone/>
                      <wp:docPr id="61" name="图片_17_SpCnt_1"/>
                      <wp:cNvGraphicFramePr/>
                      <a:graphic xmlns:a="http://schemas.openxmlformats.org/drawingml/2006/main">
                        <a:graphicData uri="http://schemas.openxmlformats.org/drawingml/2006/picture">
                          <pic:pic xmlns:pic="http://schemas.openxmlformats.org/drawingml/2006/picture">
                            <pic:nvPicPr>
                              <pic:cNvPr id="19" name="图片_17_SpCnt_1"/>
                              <pic:cNvPicPr/>
                              <pic:nvPr/>
                            </pic:nvPicPr>
                            <pic:blipFill>
                              <a:blip r:embed="rId69"/>
                              <a:stretch/>
                            </pic:blipFill>
                            <pic:spPr bwMode="auto">
                              <a:xfrm>
                                <a:off x="0" y="0"/>
                                <a:ext cx="1456055" cy="400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13.5pt;mso-position-horizontal:absolute;mso-position-vertical-relative:text;margin-top:66.8pt;mso-position-vertical:absolute;width:114.6pt;height:31.5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4000*1400*850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1、面料：棉麻布艺；                                                                                                         2、结构：由2个1400*800*420mm和2个1400*1200*420-850mm（中间靠背尺寸1200*200*430mm）的沙发自由拼接组合而成。</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3、框架：实木框架配多层板钉架；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4、海绵：采用优质≥45密度海绵，软硬适中，回弹性强，抗变形能力强；</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5、脚垫：防滑脚垫。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448310</wp:posOffset>
                      </wp:positionH>
                      <wp:positionV relativeFrom="paragraph">
                        <wp:posOffset>240030</wp:posOffset>
                      </wp:positionV>
                      <wp:extent cx="1059180" cy="950595"/>
                      <wp:effectExtent l="0" t="0" r="7620" b="1905"/>
                      <wp:wrapNone/>
                      <wp:docPr id="62" name="图片_16"/>
                      <wp:cNvGraphicFramePr/>
                      <a:graphic xmlns:a="http://schemas.openxmlformats.org/drawingml/2006/main">
                        <a:graphicData uri="http://schemas.openxmlformats.org/drawingml/2006/picture">
                          <pic:pic xmlns:pic="http://schemas.openxmlformats.org/drawingml/2006/picture">
                            <pic:nvPicPr>
                              <pic:cNvPr id="18" name="图片_16"/>
                              <pic:cNvPicPr/>
                              <pic:nvPr/>
                            </pic:nvPicPr>
                            <pic:blipFill>
                              <a:blip r:embed="rId70"/>
                              <a:stretch/>
                            </pic:blipFill>
                            <pic:spPr bwMode="auto">
                              <a:xfrm>
                                <a:off x="0" y="0"/>
                                <a:ext cx="1059180"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5.3pt;mso-position-horizontal:absolute;mso-position-vertical-relative:text;margin-top:18.9pt;mso-position-vertical:absolute;width:83.4pt;height:74.8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850*850*780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1、材质：钢架+高回弹海绵；</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2、工艺：沙发架采用优质钢架经满焊焊接而成，表面采用高温粉体烤漆，耐腐蚀，不易生锈，座背采用高密度回弹海绵；</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3、功能：时尚创意设计，百变搭配。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r>
    </w:tbl>
    <w:p>
      <w:pP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1.技术参数及功能要求中提供的图片为参考图片，最终款式、颜色须根据实际需要和场地情况微调；</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2.技术参数及功能要求涉及尺寸的，尺寸偏差范围不得超过±5mm（技术参数中另有要求除外）；</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2.2采购标的其他要求</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应保证采购人在使用其所供货物时不受第三方提出侵犯其专利权、著作权和工业产权等知识产权的起诉。一旦出现侵权，一律由供应商承担全部责任。同时，投标人对采购人采购的货物所涉及的技术、产能等信息负有保密义务。</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投标人中标后须与采购人在投标产品的“功能配置、技术要求等”方面及时交底沟通；中标人开始制造产品之前，采购人有权要求中标人对产品进行微调，最终的产品须经采购人确认同意。</w:t>
      </w:r>
      <w:r/>
    </w:p>
    <w:p>
      <w:pPr>
        <w:ind w:firstLine="480"/>
        <w:spacing w:line="360" w:lineRule="auto"/>
        <w:rPr>
          <w:rFonts w:hint="eastAsia" w:ascii="宋体" w:hAnsi="宋体" w:eastAsia="宋体" w:cs="宋体"/>
          <w:bCs/>
          <w:color w:val="auto"/>
          <w:sz w:val="21"/>
          <w:szCs w:val="21"/>
          <w:highlight w:val="none"/>
          <w:lang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bCs/>
          <w:color w:val="auto"/>
          <w:sz w:val="21"/>
          <w:szCs w:val="21"/>
          <w:highlight w:val="none"/>
          <w:lang w:eastAsia="zh-CN"/>
        </w:rPr>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2.3核心产品：</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 验收标准</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人需按照招标文件、投标文件及合同要求的质量及技术标准组织生产，在产品生产过程中，采购人随时可以到中标人的生产现场对家具、原材料的厚度、规格、材质进行抽样检查。中标人在生产之前应根据现场情况进行细微调整，家具的颜色需得到采购人认可之后再进行生产加工。</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人负责供货的材料在制作前，应通知采购人，采购人根据招投标文件的技术参数等标准、规范要求进行检查或检测，如产生检测费用由中标人承担。如检测报告中有指标不合格，中标人因立即调查原因，更换材料，因此耽误的工期由中标人负全部责任，因此产生的后续紧急处理、处置所发生的费用由供应商承担。</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产品安装前，采购人组织相关人员依据投标文件及合同要求的质量及技术标准对产品进行质量检验，合格后方可进行安装。</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检测报告存在不合格指标的，将加倍抽查，若加倍抽样仍不合格，将判定所供家具不合格并全部退货，中标人承担全部责任并赔偿全部损失。</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验收内容包括但不限于：型号、数量及外观；货物组件及配置。</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采购人和中标人对产品质量有争议，由双方同意的质量检测机构鉴定，所需费用及因此造成的损失，由责任方承担。</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采购人发现中标人所供产品不符合合同约定或验收标准的，可无条件退货（所发生的拆、包、运等费用由供应商负责）。</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 样品</w:t>
      </w:r>
      <w:r/>
    </w:p>
    <w:tbl>
      <w:tblPr>
        <w:tblStyle w:val="690"/>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921"/>
        <w:gridCol w:w="1809"/>
        <w:gridCol w:w="2935"/>
      </w:tblGrid>
      <w:tr>
        <w:trPr>
          <w:jc w:val="center"/>
          <w:trHeight w:val="416"/>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898"/>
                <w:rFonts w:hint="eastAsia" w:ascii="宋体" w:hAnsi="宋体" w:eastAsia="宋体" w:cs="宋体"/>
                <w:b/>
                <w:bCs/>
                <w:color w:val="000000"/>
                <w:sz w:val="21"/>
                <w:szCs w:val="21"/>
                <w:highlight w:val="none"/>
              </w:rPr>
              <w:suppressLineNumbers w:val="0"/>
            </w:pPr>
            <w:r>
              <w:rPr>
                <w:rStyle w:val="898"/>
                <w:rFonts w:hint="eastAsia" w:ascii="宋体" w:hAnsi="宋体" w:eastAsia="宋体" w:cs="宋体"/>
                <w:b/>
                <w:bCs/>
                <w:color w:val="000000"/>
                <w:sz w:val="21"/>
                <w:szCs w:val="21"/>
                <w:highlight w:val="none"/>
              </w:rPr>
              <w:t xml:space="preserve">样品名称</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898"/>
                <w:rFonts w:hint="eastAsia" w:ascii="宋体" w:hAnsi="宋体" w:eastAsia="宋体" w:cs="宋体"/>
                <w:b/>
                <w:bCs/>
                <w:color w:val="000000"/>
                <w:sz w:val="21"/>
                <w:szCs w:val="21"/>
                <w:highlight w:val="none"/>
              </w:rPr>
              <w:suppressLineNumbers w:val="0"/>
            </w:pPr>
            <w:r>
              <w:rPr>
                <w:rStyle w:val="898"/>
                <w:rFonts w:hint="eastAsia" w:ascii="宋体" w:hAnsi="宋体" w:eastAsia="宋体" w:cs="宋体"/>
                <w:b/>
                <w:bCs/>
                <w:color w:val="000000"/>
                <w:sz w:val="21"/>
                <w:szCs w:val="21"/>
                <w:highlight w:val="none"/>
              </w:rPr>
              <w:t xml:space="preserve">数量</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898"/>
                <w:rFonts w:hint="eastAsia" w:ascii="宋体" w:hAnsi="宋体" w:eastAsia="宋体" w:cs="宋体"/>
                <w:b/>
                <w:bCs/>
                <w:color w:val="000000"/>
                <w:sz w:val="21"/>
                <w:szCs w:val="21"/>
                <w:highlight w:val="none"/>
              </w:rPr>
              <w:suppressLineNumbers w:val="0"/>
            </w:pPr>
            <w:r>
              <w:rPr>
                <w:rStyle w:val="898"/>
                <w:rFonts w:hint="eastAsia" w:ascii="宋体" w:hAnsi="宋体" w:eastAsia="宋体" w:cs="宋体"/>
                <w:b/>
                <w:bCs/>
                <w:color w:val="000000"/>
                <w:sz w:val="21"/>
                <w:szCs w:val="21"/>
                <w:highlight w:val="none"/>
              </w:rPr>
              <w:t xml:space="preserve">要求</w:t>
            </w:r>
            <w:r/>
          </w:p>
        </w:tc>
        <w:tc>
          <w:tcPr>
            <w:tcW w:w="2935" w:type="dxa"/>
            <w:vAlign w:val="top"/>
            <w:textDirection w:val="lrTb"/>
            <w:noWrap w:val="false"/>
          </w:tcPr>
          <w:p>
            <w:pPr>
              <w:ind w:left="0" w:right="0"/>
              <w:jc w:val="center"/>
              <w:keepLines w:val="0"/>
              <w:keepNext w:val="0"/>
              <w:spacing w:before="0" w:beforeAutospacing="0" w:after="0" w:afterAutospacing="0" w:line="360" w:lineRule="auto"/>
              <w:shd w:val="clear" w:color="auto" w:fill="ffffff"/>
              <w:rPr>
                <w:rStyle w:val="898"/>
                <w:rFonts w:hint="eastAsia" w:ascii="宋体" w:hAnsi="宋体" w:eastAsia="宋体" w:cs="宋体"/>
                <w:b/>
                <w:bCs/>
                <w:color w:val="000000"/>
                <w:sz w:val="21"/>
                <w:szCs w:val="21"/>
                <w:highlight w:val="none"/>
              </w:rPr>
              <w:suppressLineNumbers w:val="0"/>
            </w:pPr>
            <w:r>
              <w:rPr>
                <w:rStyle w:val="898"/>
                <w:rFonts w:hint="eastAsia" w:ascii="宋体" w:hAnsi="宋体" w:eastAsia="宋体" w:cs="宋体"/>
                <w:b/>
                <w:bCs/>
                <w:color w:val="000000"/>
                <w:sz w:val="21"/>
                <w:szCs w:val="21"/>
                <w:highlight w:val="none"/>
              </w:rPr>
              <w:t xml:space="preserve">备注</w:t>
            </w:r>
            <w:r/>
          </w:p>
        </w:tc>
      </w:tr>
      <w:tr>
        <w:trPr>
          <w:jc w:val="center"/>
          <w:trHeight w:val="83"/>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4人位餐桌</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1套</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详见采购清单</w:t>
            </w:r>
            <w:r/>
          </w:p>
        </w:tc>
        <w:tc>
          <w:tcPr>
            <w:tcW w:w="2935"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用于食堂</w:t>
            </w:r>
            <w:r/>
          </w:p>
        </w:tc>
      </w:tr>
      <w:tr>
        <w:trPr>
          <w:jc w:val="center"/>
          <w:trHeight w:val="83"/>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课桌</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default"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1张</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详见采购清单</w:t>
            </w:r>
            <w:r/>
          </w:p>
        </w:tc>
        <w:tc>
          <w:tcPr>
            <w:tcW w:w="2935"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用于教室</w:t>
            </w:r>
            <w:r/>
          </w:p>
        </w:tc>
      </w:tr>
    </w:tbl>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r/>
    </w:p>
    <w:tbl>
      <w:tblPr>
        <w:tblStyle w:val="690"/>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样品标签</w:t>
            </w:r>
            <w:r/>
          </w:p>
        </w:tc>
      </w:tr>
      <w:tr>
        <w:trPr>
          <w:jc w:val="center"/>
          <w:trHeight w:val="623"/>
        </w:trPr>
        <w:tc>
          <w:tcPr>
            <w:tcW w:w="46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项目名称：xxxxxxxxxxxxx</w:t>
            </w:r>
            <w:r/>
          </w:p>
        </w:tc>
      </w:tr>
      <w:tr>
        <w:trPr>
          <w:jc w:val="center"/>
          <w:trHeight w:val="1556"/>
        </w:trPr>
        <w:tc>
          <w:tcPr>
            <w:tcW w:w="469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投标人名称：</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p>
            <w:pPr>
              <w:ind w:left="0" w:right="0"/>
              <w:jc w:val="right"/>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（公章）</w:t>
            </w:r>
            <w:r/>
          </w:p>
          <w:p>
            <w:pPr>
              <w:ind w:left="0" w:right="0"/>
              <w:jc w:val="right"/>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  月  日</w:t>
            </w:r>
            <w:r/>
          </w:p>
        </w:tc>
      </w:tr>
    </w:tbl>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2、各投标人的样品送样后进行编号登记，评委以编号为单位进行独立评定，评委有权对其样品进行破坏性检测，样品制作及运输费用由</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自行承担，投标样品所有费用由投标人自行承担。</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3、为保证各投标人的产品专利权，各供应商位不允许查看其它单位样品。现场不能进行拍照或者录像，否则取消相关单位投标资格，相关后果自负。</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896"/>
        <w:ind w:left="0" w:firstLine="480"/>
        <w:keepLines w:val="0"/>
        <w:keepNext w:val="0"/>
        <w:pageBreakBefore w:val="0"/>
        <w:spacing w:before="0" w:line="360" w:lineRule="auto"/>
        <w:widowControl w:val="off"/>
        <w:rPr>
          <w:rFonts w:hint="eastAsia"/>
          <w:highlight w:val="none"/>
          <w:lang w:eastAsia="zh-CN"/>
        </w:rPr>
      </w:pP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其他要求:</w:t>
      </w:r>
      <w:r>
        <w:rPr>
          <w:rFonts w:hint="eastAsia" w:ascii="宋体" w:hAnsi="宋体" w:eastAsia="宋体" w:cs="宋体"/>
          <w:strike w:val="0"/>
          <w:color w:val="000000"/>
          <w:sz w:val="21"/>
          <w:szCs w:val="21"/>
          <w:highlight w:val="none"/>
          <w:u w:val="none"/>
        </w:rPr>
        <w:t xml:space="preserve">送样时提供送样表</w:t>
      </w:r>
      <w:r>
        <w:rPr>
          <w:rFonts w:hint="eastAsia" w:ascii="宋体" w:hAnsi="宋体" w:eastAsia="宋体" w:cs="宋体"/>
          <w:strike w:val="0"/>
          <w:color w:val="000000"/>
          <w:sz w:val="21"/>
          <w:szCs w:val="21"/>
          <w:highlight w:val="none"/>
          <w:u w:val="none"/>
          <w:lang w:eastAsia="zh-CN"/>
        </w:rPr>
        <w:t xml:space="preserve">，</w:t>
      </w:r>
      <w:r>
        <w:rPr>
          <w:rFonts w:hint="eastAsia" w:ascii="宋体" w:hAnsi="宋体" w:eastAsia="宋体" w:cs="宋体"/>
          <w:strike w:val="0"/>
          <w:color w:val="000000"/>
          <w:sz w:val="21"/>
          <w:szCs w:val="21"/>
          <w:highlight w:val="none"/>
          <w:u w:val="none"/>
        </w:rPr>
        <w:t xml:space="preserve">格式</w:t>
      </w:r>
      <w:r>
        <w:rPr>
          <w:rFonts w:hint="eastAsia" w:ascii="宋体" w:hAnsi="宋体" w:eastAsia="宋体" w:cs="宋体"/>
          <w:strike w:val="0"/>
          <w:color w:val="000000"/>
          <w:sz w:val="21"/>
          <w:szCs w:val="21"/>
          <w:highlight w:val="none"/>
          <w:u w:val="none"/>
          <w:lang w:eastAsia="zh-CN"/>
        </w:rPr>
        <w:t xml:space="preserve">如下。</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44"/>
                <w:szCs w:val="44"/>
                <w:highlight w:val="none"/>
              </w:rPr>
              <w:t xml:space="preserve">送  样  表</w:t>
            </w:r>
            <w:r/>
          </w:p>
        </w:tc>
      </w:tr>
      <w:tr>
        <w:trPr>
          <w:jc w:val="center"/>
          <w:trHeight w:val="838"/>
        </w:trPr>
        <w:tc>
          <w:tcPr>
            <w:gridSpan w:val="3"/>
            <w:tcW w:w="4851"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项目名称:</w:t>
            </w:r>
            <w:r/>
          </w:p>
        </w:tc>
        <w:tc>
          <w:tcPr>
            <w:gridSpan w:val="4"/>
            <w:tcW w:w="5111" w:type="dxa"/>
            <w:vAlign w:val="center"/>
            <w:textDirection w:val="lrTb"/>
            <w:noWrap w:val="false"/>
          </w:tcPr>
          <w:p>
            <w:pPr>
              <w:pStyle w:val="894"/>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项目编号:</w:t>
            </w:r>
            <w:r/>
          </w:p>
        </w:tc>
      </w:tr>
      <w:tr>
        <w:trPr>
          <w:jc w:val="center"/>
          <w:trHeight w:val="704"/>
        </w:trPr>
        <w:tc>
          <w:tcPr>
            <w:gridSpan w:val="7"/>
            <w:tcW w:w="9962"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投标单位</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1083"/>
        </w:trPr>
        <w:tc>
          <w:tcPr>
            <w:tcW w:w="7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样品名称</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eastAsia="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suppressLineNumbers w:val="0"/>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送达时间:      年   月    日    时   分</w:t>
            </w:r>
            <w:r/>
          </w:p>
        </w:tc>
      </w:tr>
      <w:tr>
        <w:trPr>
          <w:jc w:val="center"/>
          <w:trHeight w:val="562"/>
        </w:trPr>
        <w:tc>
          <w:tcPr>
            <w:gridSpan w:val="7"/>
            <w:tcW w:w="9962" w:type="dxa"/>
            <w:vAlign w:val="center"/>
            <w:textDirection w:val="lrTb"/>
            <w:noWrap w:val="false"/>
          </w:tcPr>
          <w:p>
            <w:pPr>
              <w:pStyle w:val="894"/>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接收人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870"/>
        </w:trPr>
        <w:tc>
          <w:tcPr>
            <w:gridSpan w:val="7"/>
            <w:tcW w:w="9962" w:type="dxa"/>
            <w:vAlign w:val="center"/>
            <w:textDirection w:val="lrTb"/>
            <w:noWrap w:val="false"/>
          </w:tcPr>
          <w:p>
            <w:pPr>
              <w:pStyle w:val="894"/>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Style w:val="900"/>
                <w:rFonts w:hint="eastAsia" w:ascii="宋体" w:hAnsi="宋体" w:eastAsia="宋体" w:cs="宋体"/>
                <w:bCs/>
                <w:strike w:val="0"/>
                <w:color w:val="000000"/>
                <w:sz w:val="24"/>
                <w:szCs w:val="24"/>
                <w:highlight w:val="none"/>
              </w:rPr>
              <w:t xml:space="preserve">注:此表填写后一式两份</w:t>
            </w:r>
            <w:r>
              <w:rPr>
                <w:rStyle w:val="900"/>
                <w:rFonts w:hint="eastAsia" w:ascii="宋体" w:hAnsi="宋体" w:eastAsia="宋体" w:cs="宋体"/>
                <w:bCs/>
                <w:strike w:val="0"/>
                <w:color w:val="000000"/>
                <w:sz w:val="24"/>
                <w:szCs w:val="24"/>
                <w:highlight w:val="none"/>
                <w:lang w:eastAsia="zh-CN"/>
              </w:rPr>
              <w:t xml:space="preserve">(</w:t>
            </w:r>
            <w:r>
              <w:rPr>
                <w:rStyle w:val="900"/>
                <w:rFonts w:hint="eastAsia" w:ascii="宋体" w:hAnsi="宋体" w:eastAsia="宋体" w:cs="宋体"/>
                <w:bCs/>
                <w:strike w:val="0"/>
                <w:color w:val="000000"/>
                <w:sz w:val="24"/>
                <w:szCs w:val="24"/>
                <w:highlight w:val="none"/>
              </w:rPr>
              <w:t xml:space="preserve">投标人与招标人各一份</w:t>
            </w:r>
            <w:r>
              <w:rPr>
                <w:rStyle w:val="900"/>
                <w:rFonts w:hint="eastAsia" w:ascii="宋体" w:hAnsi="宋体" w:eastAsia="宋体" w:cs="宋体"/>
                <w:bCs/>
                <w:strike w:val="0"/>
                <w:color w:val="000000"/>
                <w:sz w:val="24"/>
                <w:szCs w:val="24"/>
                <w:highlight w:val="none"/>
                <w:lang w:eastAsia="zh-CN"/>
              </w:rPr>
              <w:t xml:space="preserve">)</w:t>
            </w:r>
            <w:r/>
          </w:p>
        </w:tc>
      </w:tr>
    </w:tbl>
    <w:p>
      <w:pPr>
        <w:jc w:val="left"/>
        <w:tabs>
          <w:tab w:val="left" w:pos="1396" w:leader="none"/>
        </w:tabs>
        <w:rPr>
          <w:rFonts w:hint="eastAsia"/>
          <w:highlight w:val="none"/>
          <w:lang w:eastAsia="zh-CN"/>
        </w:rPr>
        <w:sectPr>
          <w:footerReference w:type="default" r:id="rId11"/>
          <w:footnotePr/>
          <w:endnotePr/>
          <w:type w:val="nextPage"/>
          <w:pgSz w:w="11907" w:h="16840" w:orient="portrait"/>
          <w:pgMar w:top="1418" w:right="1134" w:bottom="1418" w:left="1701" w:header="851" w:footer="851" w:gutter="0"/>
          <w:cols w:num="1" w:sep="0" w:space="1701" w:equalWidth="1"/>
          <w:docGrid w:linePitch="360"/>
        </w:sectPr>
      </w:pPr>
      <w:r>
        <w:rPr>
          <w:rFonts w:hint="eastAsia"/>
          <w:highlight w:val="none"/>
          <w:lang w:eastAsia="zh-CN"/>
        </w:rPr>
      </w:r>
      <w:r/>
    </w:p>
    <w:p>
      <w:pPr>
        <w:numPr>
          <w:ilvl w:val="0"/>
          <w:numId w:val="0"/>
        </w:numPr>
        <w:jc w:val="center"/>
        <w:shd w:val="clear" w:color="auto"/>
        <w:rPr>
          <w:rFonts w:hint="eastAsia" w:ascii="宋体" w:hAnsi="宋体" w:eastAsia="宋体" w:cs="宋体"/>
          <w:color w:val="auto"/>
          <w:sz w:val="21"/>
          <w:szCs w:val="21"/>
          <w:highlight w:val="none"/>
        </w:rPr>
        <w:outlineLvl w:val="0"/>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甲方：</w:t>
      </w:r>
      <w:r/>
    </w:p>
    <w:p>
      <w:pPr>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乙方：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根据《中华人民共和国政府采购法》、《中华人民共和国民法典》等法律法规的规定，甲乙双方按照</w:t>
      </w:r>
      <w:r>
        <w:rPr>
          <w:rFonts w:hint="eastAsia" w:ascii="宋体" w:hAnsi="宋体"/>
          <w:sz w:val="24"/>
          <w:highlight w:val="none"/>
        </w:rPr>
        <w:t xml:space="preserve">武进区</w:t>
      </w:r>
      <w:r>
        <w:rPr>
          <w:rFonts w:hint="eastAsia" w:ascii="宋体" w:hAnsi="宋体"/>
          <w:sz w:val="24"/>
          <w:highlight w:val="none"/>
          <w:lang w:val="zh-CN"/>
        </w:rPr>
        <w:t xml:space="preserve">政府采购中心的采购结果签订本合同。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第一条　采购内容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1、项目名称：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2、采购内容：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3、服务范围： </w:t>
      </w:r>
      <w:r>
        <w:rPr>
          <w:rFonts w:ascii="宋体" w:hAnsi="宋体"/>
          <w:sz w:val="24"/>
          <w:highlight w:val="none"/>
        </w:rPr>
        <w:t xml:space="preserve">。 </w:t>
      </w:r>
      <w:r>
        <w:rPr>
          <w:rFonts w:hint="eastAsia" w:ascii="宋体" w:hAnsi="宋体"/>
          <w:sz w:val="24"/>
          <w:highlight w:val="none"/>
        </w:rPr>
        <w:t xml:space="preserve">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4、工期要求：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5、其他：　　　　　　　　　　　　　　　　　　　　　　　　　　　　</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第二条　合同总价款</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本合同人民币总价款为　　　（小写），　　　　（大写）。</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第三条　组成本合同的有关文件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（1）采购文件；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（2）投标文件；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（3）中标通知书；</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（4）中标人在投标、评标过程中所作其它有关承诺、声明、书面澄清；</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（5）甲乙双方商定的其他文件等。</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第四条　权利保证</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第五条　质量保证和售后服务</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1、乙方应按采购文件规定的服务要求、技术要求、质量标准向甲方提供服务。</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2、质量保证：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3、售后服务：　　　　　　　　　　　　　　　　　　　　　　　　　　</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采购文件、投标文件、合同条款及中标通知书，中标人在投标、评标过程中所作其它有关承诺、声明、书面澄清等均为合同不可分割的部分，与主合同具有同等法律效力。</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第六条　验收</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验收主体：采购人。</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验收时间：</w:t>
      </w:r>
      <w:r>
        <w:rPr>
          <w:rFonts w:hint="eastAsia"/>
          <w:sz w:val="24"/>
          <w:highlight w:val="none"/>
        </w:rPr>
        <w:t xml:space="preserve">合同约定的履约验收条件达到时，在</w:t>
      </w:r>
      <w:r>
        <w:rPr>
          <w:sz w:val="24"/>
          <w:highlight w:val="none"/>
        </w:rPr>
        <w:t xml:space="preserve">5</w:t>
      </w:r>
      <w:r>
        <w:rPr>
          <w:rFonts w:hint="eastAsia"/>
          <w:sz w:val="24"/>
          <w:highlight w:val="none"/>
        </w:rPr>
        <w:t xml:space="preserve">个工作日内启动履约验收工作。</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验收方式：成立验收小组，负责采购项目履约验收具体工作。</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验收内容：制定验收工作实施方案，按照方案开展验收，出具验收意见。</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验收标准：法律法规以及国家强制性标准、合同约定、招标文件要求等。</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第七条　付款</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1、本合同项下所有款项均以人民币支付，乙方向甲方开具发票。</w:t>
      </w:r>
      <w:r/>
    </w:p>
    <w:p>
      <w:pPr>
        <w:ind w:firstLine="480"/>
        <w:jc w:val="left"/>
        <w:spacing w:line="360" w:lineRule="auto"/>
        <w:widowControl/>
        <w:rPr>
          <w:rFonts w:ascii="宋体"/>
          <w:bCs/>
          <w:sz w:val="24"/>
          <w:highlight w:val="none"/>
        </w:rPr>
      </w:pPr>
      <w:r>
        <w:rPr>
          <w:rFonts w:hint="eastAsia" w:ascii="宋体" w:hAnsi="宋体"/>
          <w:bCs/>
          <w:sz w:val="24"/>
          <w:highlight w:val="none"/>
          <w:lang w:val="zh-CN"/>
        </w:rPr>
        <w:t xml:space="preserve">2、付款方式：</w:t>
      </w:r>
      <w:r>
        <w:rPr>
          <w:rFonts w:hint="eastAsia" w:ascii="宋体" w:hAnsi="宋体"/>
          <w:bCs/>
          <w:sz w:val="24"/>
          <w:highlight w:val="none"/>
          <w:lang w:val="zh-CN" w:eastAsia="zh-CN"/>
        </w:rPr>
        <w:t xml:space="preserve">合同签订后支付合同价款的30%；全部货物供货齐全、安装调试完成，经采购人验收合格且清单中所有内容确认全部实施后支付至合同价款的100%。</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第八条　违约责任</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1、甲方无正当理由拒绝验收或拒付合同款项的，应向乙方偿付合同总价10％的违约金。</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3、乙方无法完成项目的，应向甲方支付合同总价10％的违约金，同时甲方有权解除合同。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5、乙方完成的项目不符合要求的，应按照甲方选择的下列一种或多种方式承担赔偿责任：</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6、乙方未按规定和承诺提供伴随服务、售后服务的，应向甲方支付合同总价5％的违约金。</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7、违约方承担违约责任并不影响其合同项下的义务(合同解除的除外)。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8、其他：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第九条　</w:t>
      </w:r>
      <w:r>
        <w:rPr>
          <w:rFonts w:hint="eastAsia" w:ascii="宋体" w:hAnsi="宋体"/>
          <w:sz w:val="24"/>
          <w:highlight w:val="none"/>
        </w:rPr>
        <w:t xml:space="preserve">不可抗力</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第十条　</w:t>
      </w:r>
      <w:r>
        <w:rPr>
          <w:rFonts w:hint="eastAsia" w:ascii="宋体" w:hAnsi="宋体"/>
          <w:sz w:val="24"/>
          <w:highlight w:val="none"/>
          <w:lang w:val="zh-CN"/>
        </w:rPr>
        <w:t xml:space="preserve">合同的变更和终止</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第十一条  合同的终止</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本合同因下列原因而终止：</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(1)本合同正常履行完毕；</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(2)因不可抗力导致本合同无法履行或履行不必要；</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(3)任何一方行使解除权解除本合同；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(4)合同的继续履行将损害国家利益和社会公共利益。</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除上述情形外，甲乙双方不得擅自终止合同。</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第十二条　争议的解决</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sz w:val="24"/>
          <w:highlight w:val="none"/>
        </w:rPr>
        <w:t xml:space="preserve"> （1）  </w:t>
      </w:r>
      <w:r>
        <w:rPr>
          <w:rFonts w:hint="eastAsia" w:ascii="宋体" w:hAnsi="宋体"/>
          <w:sz w:val="24"/>
          <w:highlight w:val="none"/>
          <w:lang w:val="zh-CN"/>
        </w:rPr>
        <w:t xml:space="preserve">种方式解决争议：</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（1）向甲方所在地有管辖权的人民法院提起诉讼；</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2、在仲裁期间，本合同应继续履行。</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第十三条　合同生效及其他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本合同由甲乙双方签字、盖章后生效，并通过“苏采云”系统在线签订。</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2、本合同应按照中华人民共和国的现行法律进行解释。</w:t>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甲方（盖章）：</w:t>
      </w:r>
      <w:r>
        <w:rPr>
          <w:rFonts w:hint="eastAsia" w:ascii="宋体" w:hAnsi="宋体"/>
          <w:sz w:val="24"/>
          <w:highlight w:val="none"/>
          <w:lang w:val="en-US" w:eastAsia="zh-CN"/>
        </w:rPr>
        <w:t xml:space="preserve">                       </w:t>
      </w:r>
      <w:r>
        <w:rPr>
          <w:rFonts w:hint="eastAsia" w:ascii="宋体" w:hAnsi="宋体"/>
          <w:sz w:val="24"/>
          <w:highlight w:val="none"/>
          <w:lang w:val="zh-CN"/>
        </w:rPr>
        <w:t xml:space="preserve">乙方（盖章）：</w:t>
      </w:r>
      <w:r/>
    </w:p>
    <w:p>
      <w:pPr>
        <w:jc w:val="left"/>
        <w:spacing w:line="360" w:lineRule="auto"/>
        <w:widowControl/>
        <w:rPr>
          <w:rFonts w:hint="eastAsia" w:ascii="宋体" w:hAnsi="宋体"/>
          <w:sz w:val="24"/>
          <w:highlight w:val="none"/>
          <w:lang w:val="en-US" w:eastAsia="zh-CN"/>
        </w:rPr>
      </w:pPr>
      <w:r>
        <w:rPr>
          <w:rFonts w:hint="eastAsia" w:ascii="宋体" w:hAnsi="宋体"/>
          <w:sz w:val="24"/>
          <w:highlight w:val="none"/>
          <w:lang w:val="en-US" w:eastAsia="zh-CN"/>
        </w:rPr>
        <w:t xml:space="preserve">法定代表人（签字或盖章）：           法定代表人（签字或盖章）：</w:t>
      </w:r>
      <w:r/>
    </w:p>
    <w:p>
      <w:pPr>
        <w:jc w:val="left"/>
        <w:spacing w:line="360" w:lineRule="auto"/>
        <w:widowControl/>
        <w:rPr>
          <w:rFonts w:hint="default" w:ascii="宋体" w:hAnsi="宋体"/>
          <w:sz w:val="24"/>
          <w:highlight w:val="none"/>
          <w:lang w:val="en-US" w:eastAsia="zh-CN"/>
        </w:rPr>
      </w:pPr>
      <w:r>
        <w:rPr>
          <w:rFonts w:hint="eastAsia" w:ascii="宋体" w:hAnsi="宋体"/>
          <w:sz w:val="24"/>
          <w:highlight w:val="none"/>
          <w:lang w:val="en-US" w:eastAsia="zh-CN"/>
        </w:rPr>
        <w:t xml:space="preserve">或其授权委托人（签字或盖章）：       或其授权委托人（签字或盖章）：</w:t>
      </w:r>
      <w:r/>
    </w:p>
    <w:p>
      <w:pPr>
        <w:ind w:firstLine="1920"/>
        <w:jc w:val="left"/>
        <w:spacing w:line="360" w:lineRule="auto"/>
        <w:widowControl/>
        <w:rPr>
          <w:rFonts w:hint="default" w:ascii="宋体" w:hAnsi="宋体"/>
          <w:sz w:val="24"/>
          <w:highlight w:val="none"/>
          <w:lang w:val="en-US" w:eastAsia="zh-CN"/>
        </w:rPr>
      </w:pPr>
      <w:r>
        <w:rPr>
          <w:rFonts w:hint="eastAsia" w:ascii="宋体" w:hAnsi="宋体"/>
          <w:sz w:val="24"/>
          <w:highlight w:val="none"/>
        </w:rPr>
        <w:t xml:space="preserve">年　月　日</w:t>
      </w:r>
      <w:r>
        <w:rPr>
          <w:rFonts w:hint="eastAsia" w:ascii="宋体" w:hAnsi="宋体"/>
          <w:sz w:val="24"/>
          <w:highlight w:val="none"/>
          <w:lang w:val="en-US" w:eastAsia="zh-CN"/>
        </w:rPr>
        <w:t xml:space="preserve">                           </w:t>
      </w:r>
      <w:r>
        <w:rPr>
          <w:rFonts w:hint="eastAsia" w:ascii="宋体" w:hAnsi="宋体"/>
          <w:sz w:val="24"/>
          <w:highlight w:val="none"/>
        </w:rPr>
        <w:t xml:space="preserve">年　月　日</w:t>
      </w:r>
      <w:r/>
    </w:p>
    <w:p>
      <w:pPr>
        <w:ind w:firstLine="1920"/>
        <w:jc w:val="left"/>
        <w:spacing w:line="360" w:lineRule="auto"/>
        <w:widowControl/>
        <w:rPr>
          <w:rFonts w:hint="default" w:ascii="宋体" w:hAnsi="宋体"/>
          <w:sz w:val="24"/>
          <w:highlight w:val="none"/>
          <w:lang w:val="en-US" w:eastAsia="zh-CN"/>
        </w:rPr>
      </w:pPr>
      <w:r>
        <w:rPr>
          <w:rFonts w:hint="default" w:ascii="宋体" w:hAnsi="宋体"/>
          <w:sz w:val="24"/>
          <w:highlight w:val="none"/>
          <w:lang w:val="en-US" w:eastAsia="zh-CN"/>
        </w:rPr>
      </w:r>
      <w:r/>
    </w:p>
    <w:p>
      <w:pPr>
        <w:pStyle w:val="724"/>
        <w:rPr>
          <w:rFonts w:hint="eastAsia" w:ascii="宋体" w:hAnsi="宋体"/>
          <w:sz w:val="24"/>
          <w:highlight w:val="none"/>
          <w:lang w:val="zh-CN"/>
        </w:rPr>
      </w:pPr>
      <w:r>
        <w:rPr>
          <w:rFonts w:hint="eastAsia" w:ascii="宋体" w:hAnsi="宋体"/>
          <w:sz w:val="24"/>
          <w:highlight w:val="none"/>
          <w:lang w:val="zh-CN"/>
        </w:rPr>
      </w:r>
      <w:r/>
    </w:p>
    <w:p>
      <w:pPr>
        <w:pStyle w:val="87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2"/>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32"/>
          <w:szCs w:val="32"/>
          <w:highlight w:val="none"/>
        </w:rPr>
      </w:pPr>
      <w:r/>
      <w:bookmarkStart w:id="11" w:name="_Toc8004"/>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11"/>
      <w:r/>
      <w:r/>
    </w:p>
    <w:p>
      <w:pPr>
        <w:ind w:left="142"/>
        <w:spacing w:line="360" w:lineRule="auto"/>
        <w:shd w:val="clear" w:color="auto"/>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4、实行电子化不见面交易方式的，加盖公章、签名等均通过投标文件编制工具加盖电子公章、签字、签章或印鉴。</w:t>
      </w:r>
      <w:r/>
    </w:p>
    <w:p>
      <w:pPr>
        <w:ind w:firstLine="420"/>
        <w:keepLines w:val="0"/>
        <w:keepNext w:val="0"/>
        <w:pageBreakBefore w:val="0"/>
        <w:spacing w:line="480" w:lineRule="auto"/>
        <w:shd w:val="clear" w:color="auto"/>
        <w:widowControl w:val="off"/>
        <w:tabs>
          <w:tab w:val="left" w:pos="900" w:leader="none"/>
          <w:tab w:val="left" w:pos="1980" w:leader="none"/>
        </w:tabs>
        <w:rPr>
          <w:rFonts w:hint="default" w:ascii="宋体" w:hAnsi="宋体" w:eastAsia="宋体" w:cs="宋体"/>
          <w:color w:val="auto"/>
          <w:sz w:val="21"/>
          <w:szCs w:val="21"/>
          <w:highlight w:val="none"/>
          <w:lang w:val="en-US" w:eastAsia="zh-CN"/>
        </w:rPr>
        <w:outlineLvl w:val="9"/>
      </w:pPr>
      <w:r>
        <w:rPr>
          <w:rFonts w:hint="default" w:ascii="宋体" w:hAnsi="宋体" w:eastAsia="宋体" w:cs="宋体"/>
          <w:color w:val="auto"/>
          <w:sz w:val="21"/>
          <w:szCs w:val="21"/>
          <w:highlight w:val="none"/>
          <w:lang w:val="en-US" w:eastAsia="zh-CN"/>
        </w:rPr>
      </w:r>
      <w:r/>
    </w:p>
    <w:p>
      <w:pPr>
        <w:pStyle w:val="87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7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7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7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872"/>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695"/>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5"/>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5"/>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shd w:val="clear" w:color="auto"/>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shd w:val="clear" w:color="auto"/>
        <w:rPr>
          <w:rFonts w:hint="eastAsia" w:ascii="宋体" w:hAnsi="宋体" w:eastAsia="宋体" w:cs="宋体"/>
          <w:b/>
          <w:color w:val="auto"/>
          <w:highlight w:val="none"/>
        </w:rPr>
        <w:outlineLvl w:val="9"/>
      </w:pPr>
      <w:r>
        <w:rPr>
          <w:rFonts w:hint="eastAsia" w:ascii="宋体" w:hAnsi="宋体" w:eastAsia="宋体" w:cs="宋体"/>
          <w:b/>
          <w:color w:val="auto"/>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1-1有效的法人或者其他组织的营业执照等证明文件电子件或电子证照</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spacing w:before="120" w:line="360" w:lineRule="auto"/>
        <w:shd w:val="clear" w:color="auto"/>
        <w:widowControl/>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691"/>
        <w:ind w:left="0" w:firstLine="0"/>
        <w:spacing w:line="460" w:lineRule="exact"/>
        <w:shd w:val="clear" w:color="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91"/>
        <w:spacing w:line="460" w:lineRule="exact"/>
        <w:shd w:val="clear" w:color="auto"/>
        <w:rPr>
          <w:rFonts w:hint="eastAsia" w:ascii="宋体" w:hAnsi="宋体" w:eastAsia="宋体" w:cs="宋体"/>
          <w:color w:val="auto"/>
          <w:sz w:val="21"/>
          <w:szCs w:val="21"/>
          <w:highlight w:val="none"/>
          <w:lang w:eastAsia="zh-CN"/>
        </w:rPr>
        <w:outlineLvl w:val="9"/>
      </w:pPr>
      <w:r>
        <w:rPr>
          <w:rFonts w:hint="eastAsia" w:hAnsi="宋体" w:cs="宋体"/>
          <w:color w:val="auto"/>
          <w:sz w:val="21"/>
          <w:szCs w:val="21"/>
          <w:highlight w:val="none"/>
          <w:u w:val="single"/>
          <w:lang w:eastAsia="zh-CN"/>
        </w:rPr>
        <w:t xml:space="preserve">江苏建达全过程工程咨询有限公司</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691"/>
        <w:ind w:firstLine="480"/>
        <w:spacing w:line="460" w:lineRule="exact"/>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691"/>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691"/>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1、在“信用中国”网站被列入失信被执行人和重大税收违法案件当事人名单；</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2、在“中国政府采购网”网站被列入政府采购严重违法失信行为记录名单；</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3、不符合《政府采购法》第二十二条规定的条件。</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91"/>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91"/>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pStyle w:val="691"/>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法定代表人（或单位负责人）签字或盖章：</w:t>
      </w:r>
      <w:r/>
    </w:p>
    <w:p>
      <w:pPr>
        <w:pStyle w:val="691"/>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shd w:val="clear" w:color="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2-1 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实质性格式）</w:t>
      </w:r>
      <w:r/>
    </w:p>
    <w:p>
      <w:pPr>
        <w:pStyle w:val="894"/>
        <w:ind w:left="0" w:right="0" w:firstLine="240"/>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中小微企业声明函（货物类项目）（采购包号：**）</w:t>
      </w:r>
      <w:r/>
    </w:p>
    <w:p>
      <w:pPr>
        <w:pStyle w:val="894"/>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94"/>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行业；投标产品制造商为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 □小型企业 □微型企业）；</w:t>
      </w:r>
      <w:r/>
    </w:p>
    <w:p>
      <w:pPr>
        <w:pStyle w:val="894"/>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行业；投标产品制造商为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 □小型企业 □微型企业）；</w:t>
      </w:r>
      <w:r/>
    </w:p>
    <w:p>
      <w:pPr>
        <w:pStyle w:val="894"/>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p>
    <w:p>
      <w:pPr>
        <w:pStyle w:val="894"/>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894"/>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894"/>
        <w:ind w:right="72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894"/>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894"/>
        <w:ind w:left="0" w:right="480" w:firstLine="45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日  期：___年____月____日</w:t>
      </w:r>
      <w:r/>
    </w:p>
    <w:p>
      <w:pPr>
        <w:pStyle w:val="894"/>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894"/>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p>
    <w:p>
      <w:pPr>
        <w:pStyle w:val="894"/>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894"/>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894"/>
        <w:ind w:left="540" w:hanging="12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w:t>
      </w:r>
      <w:r/>
    </w:p>
    <w:p>
      <w:pPr>
        <w:pStyle w:val="894"/>
        <w:jc w:val="both"/>
        <w:keepLines w:val="0"/>
        <w:keepNext w:val="0"/>
        <w:spacing w:before="0" w:beforeAutospacing="0" w:after="0" w:afterAutospacing="0"/>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89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89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89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ascii="宋体" w:hAnsi="宋体" w:eastAsia="宋体" w:cs="宋体"/>
          <w:b/>
          <w:bCs/>
          <w:color w:val="000000"/>
          <w:sz w:val="24"/>
          <w:szCs w:val="24"/>
          <w:highlight w:val="none"/>
        </w:rPr>
      </w:r>
      <w:r/>
    </w:p>
    <w:p>
      <w:pPr>
        <w:pStyle w:val="894"/>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残疾人福利性单位声明函（货物类项目）（采购包号：**）</w:t>
      </w:r>
      <w:r>
        <w:rPr>
          <w:highlight w:val="none"/>
        </w:rPr>
        <w:t xml:space="preserve"> </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项目（项目名称）（采购包号：**）采购活动提供本单位制造的货物，或者提供其他残疾人福利性单位制造的货物（不包括使用非残疾人福利性单位注册商标的货物）。</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本单位对上述声明的真实性负责。如有虚假，将依法承担相应责任。</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 非专门面向中小微型企业采购的项目，供应商如不提供此声明函，价格将不做相应扣除。</w:t>
      </w:r>
      <w:r/>
    </w:p>
    <w:p>
      <w:pPr>
        <w:pStyle w:val="894"/>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p>
    <w:p>
      <w:pPr>
        <w:pStyle w:val="894"/>
        <w:ind w:left="0" w:firstLine="624"/>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894"/>
        <w:ind w:left="0" w:right="1559" w:firstLine="624"/>
        <w:jc w:val="center"/>
        <w:keepLines w:val="0"/>
        <w:keepNext w:val="0"/>
        <w:pageBreakBefore w:val="0"/>
        <w:spacing w:before="0" w:beforeAutospacing="0" w:after="0" w:afterAutospacing="0" w:line="360" w:lineRule="auto"/>
        <w:widowControl w:val="off"/>
        <w:tabs>
          <w:tab w:val="left" w:pos="4864" w:leader="none"/>
        </w:tabs>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21"/>
          <w:szCs w:val="21"/>
          <w:highlight w:val="none"/>
        </w:rPr>
        <w:t xml:space="preserve">           </w:t>
      </w:r>
      <w:r>
        <w:rPr>
          <w:rFonts w:hint="eastAsia" w:ascii="宋体" w:hAnsi="宋体" w:eastAsia="宋体" w:cs="宋体"/>
          <w:color w:val="000000"/>
          <w:sz w:val="21"/>
          <w:szCs w:val="21"/>
          <w:highlight w:val="none"/>
        </w:rPr>
        <w:t xml:space="preserve"> 供应商全称（加盖CA电子公章）：</w:t>
      </w:r>
      <w:r/>
    </w:p>
    <w:p>
      <w:pPr>
        <w:pStyle w:val="894"/>
        <w:ind w:left="0" w:right="1559" w:firstLine="480"/>
        <w:jc w:val="center"/>
        <w:keepLines w:val="0"/>
        <w:keepNext w:val="0"/>
        <w:pageBreakBefore w:val="0"/>
        <w:spacing w:before="0" w:beforeAutospacing="0" w:after="0" w:afterAutospacing="0" w:line="360" w:lineRule="auto"/>
        <w:widowControl w:val="off"/>
        <w:tabs>
          <w:tab w:val="left" w:pos="4864" w:leader="none"/>
        </w:tabs>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日  期：___年____月____日</w:t>
      </w:r>
      <w:r>
        <w:rPr>
          <w:rFonts w:hint="eastAsia" w:ascii="宋体" w:hAnsi="宋体" w:eastAsia="宋体" w:cs="宋体"/>
          <w:color w:val="000000"/>
          <w:sz w:val="21"/>
          <w:szCs w:val="21"/>
          <w:highlight w:val="none"/>
          <w:shd w:val="clear" w:color="auto" w:fill="ffffff"/>
        </w:rPr>
        <w:t xml:space="preserve"> </w:t>
      </w:r>
      <w:r/>
    </w:p>
    <w:p>
      <w:pPr>
        <w:ind w:right="1560" w:firstLine="504"/>
        <w:jc w:val="center"/>
        <w:keepLines w:val="0"/>
        <w:keepNext w:val="0"/>
        <w:pageBreakBefore w:val="0"/>
        <w:spacing w:line="360" w:lineRule="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keepLines w:val="0"/>
        <w:keepNext w:val="0"/>
        <w:pageBreakBefore w:val="0"/>
        <w:spacing w:line="360" w:lineRule="auto"/>
        <w:widowControl w:val="off"/>
        <w:tabs>
          <w:tab w:val="left" w:pos="4860" w:leader="none"/>
        </w:tabs>
        <w:rPr>
          <w:rFonts w:hint="eastAsia" w:ascii="宋体" w:hAnsi="宋体" w:eastAsia="宋体" w:cs="宋体"/>
          <w:color w:val="000000"/>
          <w:spacing w:val="6"/>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pacing w:val="6"/>
          <w:sz w:val="24"/>
          <w:highlight w:val="none"/>
        </w:rPr>
      </w:r>
      <w:r/>
    </w:p>
    <w:p>
      <w:pPr>
        <w:pStyle w:val="894"/>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894"/>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894"/>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894"/>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894"/>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894"/>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894"/>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894"/>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894"/>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p>
    <w:p>
      <w:pPr>
        <w:pStyle w:val="894"/>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894"/>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894"/>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894"/>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894"/>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894"/>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894"/>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894"/>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pStyle w:val="894"/>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ind w:firstLine="420"/>
        <w:spacing w:line="360" w:lineRule="auto"/>
        <w:shd w:val="clear" w:color="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pStyle w:val="872"/>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spacing w:line="360" w:lineRule="auto"/>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spacing w:line="360" w:lineRule="auto"/>
        <w:shd w:val="clear" w:color="auto"/>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   （采购人名称）   </w:t>
      </w:r>
      <w:r/>
    </w:p>
    <w:p>
      <w:pPr>
        <w:ind w:firstLine="420"/>
        <w:spacing w:line="360" w:lineRule="auto"/>
        <w:shd w:val="clear" w:color="auto"/>
        <w:tabs>
          <w:tab w:val="left" w:pos="5580" w:leader="none"/>
        </w:tabs>
        <w:rPr>
          <w:rFonts w:hint="eastAsia" w:ascii="宋体" w:hAnsi="宋体" w:eastAsia="宋体" w:cs="宋体"/>
          <w:color w:val="auto"/>
          <w:sz w:val="21"/>
          <w:szCs w:val="21"/>
          <w:highlight w:val="none"/>
          <w:u w:val="single"/>
          <w:lang w:eastAsia="zh-CN"/>
        </w:rPr>
        <w:outlineLvl w:val="9"/>
      </w:pPr>
      <w:r>
        <w:rPr>
          <w:rFonts w:hint="eastAsia" w:ascii="宋体" w:hAnsi="宋体" w:cs="宋体"/>
          <w:color w:val="auto"/>
          <w:sz w:val="21"/>
          <w:szCs w:val="21"/>
          <w:highlight w:val="none"/>
          <w:u w:val="single"/>
          <w:lang w:eastAsia="zh-CN"/>
        </w:rPr>
        <w:t xml:space="preserve">江苏建达全过程工程咨询有限公司</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val="en-US" w:eastAsia="zh-CN"/>
        </w:rPr>
        <w:t xml:space="preserve">                  （项目名称，项目编号）</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（1）本投标有效期为自提交投标文件的截止之日起60个日历日。</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2.其他补充条款（如有）：___________。</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与本投标有关的一切正式往来信函请寄：</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传真_________________________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电子函件_____________________</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投标人名称（加盖公章） 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ind w:left="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p>
    <w:p>
      <w:pPr>
        <w:jc w:val="left"/>
        <w:shd w:val="clear" w:color="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lang w:val="en-US" w:eastAsia="zh-CN"/>
        </w:rPr>
        <w:t xml:space="preserve">              </w:t>
      </w:r>
      <w:r/>
    </w:p>
    <w:p>
      <w:pPr>
        <w:ind w:firstLine="42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695"/>
        <w:ind w:right="-46"/>
        <w:spacing w:line="583" w:lineRule="auto"/>
        <w:shd w:val="clear" w:color="auto"/>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690"/>
        <w:tblW w:w="85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8"/>
        <w:gridCol w:w="4299"/>
      </w:tblGrid>
      <w:tr>
        <w:trPr>
          <w:trHeight w:val="2409"/>
        </w:trPr>
        <w:tc>
          <w:tcPr>
            <w:tcW w:w="4298"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299"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法定代表人签字或盖章：</w:t>
      </w:r>
      <w:r/>
    </w:p>
    <w:p>
      <w:pPr>
        <w:ind w:firstLine="378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为事业单位或其他组织或分支机构（仅当</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注明允许分支机构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的），则法定代表人（单位负责人）处的签署人可为单位负责人。</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为自然人的情形，可不提供本《法定代表人资格证明书》。</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both"/>
        <w:spacing w:line="360" w:lineRule="exact"/>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jc w:val="both"/>
        <w:spacing w:line="360" w:lineRule="exact"/>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spacing w:line="360" w:lineRule="exact"/>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left="1260"/>
        <w:jc w:val="both"/>
        <w:shd w:val="clear" w:color="auto"/>
        <w:widowControl w:val="off"/>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ind w:firstLine="451"/>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日起签字生效，特此声明。</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被授权人签字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法定代表人签字或盖章：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69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jc w:val="left"/>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1.身份证电子件信息必须清晰可辨，如因清晰度不够引起的一切后果由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自行承担。</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2.如有授权需同时提供，投标人为其被授权人缴纳的近三个月（自提交投标文件截止</w:t>
      </w:r>
      <w:r>
        <w:rPr>
          <w:rFonts w:hint="eastAsia" w:ascii="宋体" w:hAnsi="宋体" w:cs="宋体"/>
          <w:color w:val="auto"/>
          <w:sz w:val="21"/>
          <w:szCs w:val="21"/>
          <w:highlight w:val="none"/>
          <w:lang w:val="en-US" w:eastAsia="zh-CN"/>
        </w:rPr>
        <w:t xml:space="preserve">之日</w:t>
      </w:r>
      <w:r>
        <w:rPr>
          <w:rFonts w:hint="eastAsia" w:ascii="宋体" w:hAnsi="宋体" w:eastAsia="宋体" w:cs="宋体"/>
          <w:color w:val="auto"/>
          <w:sz w:val="21"/>
          <w:szCs w:val="21"/>
          <w:highlight w:val="none"/>
          <w:lang w:val="en-US" w:eastAsia="zh-CN"/>
        </w:rPr>
        <w:t xml:space="preserve">起往前推算）中任意一个月的社保缴纳证明材料电子件或扫描件。</w:t>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 xml:space="preserve">政府采购</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highlight w:val="none"/>
        </w:rPr>
        <w:t xml:space="preserve">信用承诺书</w:t>
      </w:r>
      <w:r>
        <w:rPr>
          <w:rFonts w:hint="eastAsia" w:ascii="宋体" w:hAnsi="宋体" w:eastAsia="宋体" w:cs="宋体"/>
          <w:b/>
          <w:bCs/>
          <w:color w:val="auto"/>
          <w:sz w:val="24"/>
          <w:szCs w:val="20"/>
          <w:highlight w:val="none"/>
        </w:rPr>
        <w:t xml:space="preserve">（实质性格式）</w:t>
      </w:r>
      <w:r/>
    </w:p>
    <w:p>
      <w:pPr>
        <w:ind w:firstLine="321"/>
        <w:jc w:val="center"/>
        <w:spacing w:line="560" w:lineRule="exact"/>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firstLine="281"/>
        <w:jc w:val="center"/>
        <w:spacing w:line="560" w:lineRule="exact"/>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政府采购供应商信用承诺书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五、承诺本单位自觉接受行政管理部门、行业组织、社会公众、新闻舆论的监督。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七、承诺本单位在信用中国（江苏）网站中无违法违规、较重或严重失信记录。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八、承诺本单位提出政府采购质疑和投诉坚持依法依规、诚实信用原则。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九、根据政府采购相关法律法规的规定需要作出的其他承诺。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十一、承诺本单位同意将以上承诺事项上网公示，违背承诺约定行为将作为失信信息，记录到常州市公共信用信息系统，并予以公开。</w:t>
      </w:r>
      <w:r/>
    </w:p>
    <w:p>
      <w:pPr>
        <w:pStyle w:val="877"/>
        <w:ind w:right="1050" w:firstLine="2520"/>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4"/>
          <w:highlight w:val="none"/>
          <w:lang w:eastAsia="zh-CN"/>
        </w:rPr>
        <w:t xml:space="preserve">（实质性格式）</w:t>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lang w:eastAsia="zh-CN"/>
        </w:rPr>
        <w:outlineLvl w:val="9"/>
      </w:pPr>
      <w:r>
        <w:rPr>
          <w:rFonts w:hint="eastAsia" w:ascii="宋体" w:hAnsi="宋体" w:cs="宋体"/>
          <w:b/>
          <w:color w:val="auto"/>
          <w:sz w:val="36"/>
          <w:szCs w:val="36"/>
          <w:highlight w:val="none"/>
          <w:lang w:val="en-US" w:eastAsia="zh-CN"/>
        </w:rPr>
        <w:t xml:space="preserve">报价一览</w:t>
      </w:r>
      <w:r>
        <w:rPr>
          <w:rFonts w:hint="eastAsia" w:ascii="宋体" w:hAnsi="宋体" w:eastAsia="宋体" w:cs="宋体"/>
          <w:b/>
          <w:color w:val="auto"/>
          <w:sz w:val="36"/>
          <w:szCs w:val="36"/>
          <w:highlight w:val="none"/>
        </w:rPr>
        <w:t xml:space="preserve">表</w:t>
      </w:r>
      <w:r/>
    </w:p>
    <w:p>
      <w:pPr>
        <w:pStyle w:val="695"/>
        <w:shd w:val="clear" w:color="auto"/>
        <w:rPr>
          <w:rFonts w:hint="eastAsia"/>
          <w:color w:val="auto"/>
          <w:highlight w:val="none"/>
        </w:rPr>
      </w:pPr>
      <w:r>
        <w:rPr>
          <w:rFonts w:hint="eastAsia"/>
          <w:color w:val="auto"/>
          <w:highlight w:val="none"/>
        </w:rPr>
      </w:r>
      <w:r/>
    </w:p>
    <w:tbl>
      <w:tblPr>
        <w:tblStyle w:val="690"/>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430"/>
        <w:gridCol w:w="5829"/>
      </w:tblGrid>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2"/>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2"/>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投标报价</w:t>
            </w:r>
            <w:r/>
          </w:p>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rPr>
              <w:outlineLvl w:val="9"/>
              <w:suppressLineNumbers w:val="0"/>
            </w:pPr>
            <w:r>
              <w:rPr>
                <w:rFonts w:hint="eastAsia" w:ascii="宋体" w:hAnsi="宋体" w:cs="宋体"/>
                <w:color w:val="auto"/>
                <w:sz w:val="21"/>
                <w:szCs w:val="21"/>
                <w:highlight w:val="none"/>
                <w:lang w:val="en-US" w:eastAsia="zh-CN"/>
              </w:rPr>
              <w:t xml:space="preserve">（含税报价）</w:t>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金额小写</w:t>
            </w:r>
            <w:r/>
          </w:p>
        </w:tc>
        <w:tc>
          <w:tcPr>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b/>
                <w:bCs/>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lang w:val="en-US" w:eastAsia="zh-CN"/>
              </w:rPr>
              <w:t xml:space="preserve">             </w:t>
            </w:r>
            <w:r/>
          </w:p>
        </w:tc>
      </w:tr>
      <w:tr>
        <w:trPr>
          <w:cantSplit/>
          <w:jc w:val="center"/>
          <w:trHeight w:val="850"/>
        </w:trPr>
        <w:tc>
          <w:tcPr>
            <w:tcW w:w="140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金额大写</w:t>
            </w:r>
            <w:r/>
          </w:p>
        </w:tc>
        <w:tc>
          <w:tcPr>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人民币</w:t>
            </w:r>
            <w:r>
              <w:rPr>
                <w:rFonts w:hint="eastAsia" w:ascii="宋体" w:hAnsi="宋体" w:cs="宋体"/>
                <w:color w:val="auto"/>
                <w:sz w:val="21"/>
                <w:szCs w:val="21"/>
                <w:highlight w:val="none"/>
                <w:u w:val="single"/>
                <w:lang w:val="en-US" w:eastAsia="zh-CN"/>
              </w:rPr>
              <w:t xml:space="preserve">              </w:t>
            </w:r>
            <w:r/>
          </w:p>
        </w:tc>
      </w:tr>
    </w:tbl>
    <w:p>
      <w:pPr>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投标人在系统《开标一览表》中填写的金额应当与本表中投标报价金额一致。若不一致以系统中《开标一览表》所填价格为准。</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jc w:val="both"/>
        <w:keepLines w:val="0"/>
        <w:keepNext w:val="0"/>
        <w:pageBreakBefore w:val="0"/>
        <w:spacing w:after="166" w:line="440" w:lineRule="exact"/>
        <w:shd w:val="clear" w:color="auto"/>
        <w:widowControl/>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t xml:space="preserve">6 分项报价表（实质性格式） </w:t>
      </w:r>
      <w:r/>
    </w:p>
    <w:p>
      <w:pPr>
        <w:jc w:val="center"/>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rPr>
        <w:t xml:space="preserve">投标</w:t>
      </w:r>
      <w:r>
        <w:rPr>
          <w:rFonts w:hint="eastAsia" w:ascii="宋体" w:hAnsi="宋体" w:eastAsia="宋体" w:cs="宋体"/>
          <w:b/>
          <w:color w:val="000000"/>
          <w:sz w:val="32"/>
          <w:szCs w:val="32"/>
          <w:highlight w:val="none"/>
          <w:lang w:eastAsia="zh-CN"/>
        </w:rPr>
        <w:t xml:space="preserve">清单</w:t>
      </w:r>
      <w:r>
        <w:rPr>
          <w:rFonts w:hint="eastAsia" w:ascii="宋体" w:hAnsi="宋体" w:eastAsia="宋体" w:cs="宋体"/>
          <w:b/>
          <w:color w:val="000000"/>
          <w:sz w:val="32"/>
          <w:szCs w:val="32"/>
          <w:highlight w:val="none"/>
        </w:rPr>
        <w:t xml:space="preserve">报价表</w:t>
      </w:r>
      <w:r/>
    </w:p>
    <w:p>
      <w:pPr>
        <w:jc w:val="left"/>
        <w:spacing w:line="360" w:lineRule="auto"/>
        <w:tabs>
          <w:tab w:val="left" w:pos="1800" w:leader="none"/>
          <w:tab w:val="left" w:pos="558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项目编号:_____________________     项目名称:_______________________</w:t>
      </w:r>
      <w:r/>
    </w:p>
    <w:tbl>
      <w:tblPr>
        <w:tblStyle w:val="690"/>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5"/>
        <w:gridCol w:w="440"/>
        <w:gridCol w:w="2067"/>
        <w:gridCol w:w="1148"/>
        <w:gridCol w:w="447"/>
        <w:gridCol w:w="427"/>
        <w:gridCol w:w="427"/>
        <w:gridCol w:w="2459"/>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eastAsia="zh-CN"/>
              </w:rPr>
              <w:suppressLineNumbers w:val="0"/>
            </w:pPr>
            <w:r>
              <w:rPr>
                <w:rFonts w:hint="eastAsia" w:ascii="宋体" w:hAnsi="宋体" w:eastAsia="宋体" w:cs="宋体"/>
                <w:b/>
                <w:bCs/>
                <w:color w:val="000000"/>
                <w:sz w:val="21"/>
                <w:szCs w:val="21"/>
                <w:highlight w:val="none"/>
                <w:lang w:eastAsia="zh-CN" w:bidi="ar"/>
              </w:rPr>
              <w:t xml:space="preserve">规格</w:t>
            </w:r>
            <w:r>
              <w:rPr>
                <w:rFonts w:hint="eastAsia" w:ascii="宋体" w:hAnsi="宋体" w:cs="宋体"/>
                <w:b/>
                <w:bCs/>
                <w:color w:val="000000"/>
                <w:sz w:val="21"/>
                <w:szCs w:val="21"/>
                <w:highlight w:val="none"/>
                <w:lang w:eastAsia="zh-CN" w:bidi="ar"/>
              </w:rPr>
              <w:t xml:space="preserve">（</w:t>
            </w:r>
            <w:r>
              <w:rPr>
                <w:rFonts w:hint="eastAsia" w:ascii="宋体" w:hAnsi="宋体" w:cs="宋体"/>
                <w:b/>
                <w:bCs/>
                <w:color w:val="000000"/>
                <w:sz w:val="21"/>
                <w:szCs w:val="21"/>
                <w:highlight w:val="none"/>
                <w:lang w:val="en-US" w:eastAsia="zh-CN" w:bidi="ar"/>
              </w:rPr>
              <w:t xml:space="preserve">mm</w:t>
            </w:r>
            <w:r>
              <w:rPr>
                <w:rFonts w:hint="eastAsia" w:ascii="宋体" w:hAnsi="宋体" w:cs="宋体"/>
                <w:b/>
                <w:bCs/>
                <w:color w:val="00000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材质说明</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eastAsia="zh-CN" w:bidi="ar"/>
              </w:rPr>
              <w:suppressLineNumbers w:val="0"/>
            </w:pPr>
            <w:r>
              <w:rPr>
                <w:rFonts w:hint="eastAsia" w:ascii="宋体" w:hAnsi="宋体" w:eastAsia="宋体" w:cs="宋体"/>
                <w:b/>
                <w:bCs/>
                <w:color w:val="00000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总价</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color w:val="000000"/>
                <w:sz w:val="21"/>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ind w:left="0" w:right="0"/>
              <w:jc w:val="center"/>
              <w:keepLines w:val="0"/>
              <w:keepNext w:val="0"/>
              <w:spacing w:before="0" w:beforeAutospacing="0" w:after="0" w:afterAutospacing="0" w:line="48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小写: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p>
        </w:tc>
      </w:tr>
    </w:tbl>
    <w:p>
      <w:pPr>
        <w:keepLines w:val="0"/>
        <w:keepNext w:val="0"/>
        <w:pageBreakBefore w:val="0"/>
        <w:spacing w:line="360" w:lineRule="auto"/>
        <w:widowControl w:val="off"/>
        <w:tabs>
          <w:tab w:val="left" w:pos="1800" w:leader="none"/>
          <w:tab w:val="left" w:pos="5580" w:leader="none"/>
        </w:tabs>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highlight w:val="none"/>
          <w:lang w:eastAsia="zh-CN"/>
        </w:rPr>
      </w:pPr>
      <w:r/>
      <w:bookmarkStart w:id="12" w:name="_GoBack"/>
      <w:r/>
      <w:bookmarkEnd w:id="12"/>
      <w:r>
        <w:rPr>
          <w:rFonts w:hint="eastAsia" w:ascii="宋体" w:hAnsi="宋体" w:cs="宋体"/>
          <w:color w:val="000000"/>
          <w:sz w:val="21"/>
          <w:szCs w:val="21"/>
          <w:highlight w:val="none"/>
          <w:lang w:eastAsia="zh-CN"/>
        </w:rPr>
        <w:t xml:space="preserve">注：如果不提供明细报价将视为没有实质性响应招标文件。</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投标人名称(加盖电子公章)</w:t>
      </w:r>
      <w:r>
        <w:rPr>
          <w:rFonts w:hint="eastAsia" w:ascii="宋体" w:hAnsi="宋体" w:eastAsia="宋体" w:cs="宋体"/>
          <w:color w:val="000000"/>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合同条款</w:t>
      </w:r>
      <w:r>
        <w:rPr>
          <w:rFonts w:hint="eastAsia" w:ascii="宋体" w:hAnsi="宋体" w:eastAsia="宋体" w:cs="宋体"/>
          <w:b/>
          <w:bCs/>
          <w:color w:val="auto"/>
          <w:sz w:val="24"/>
          <w:szCs w:val="24"/>
          <w:highlight w:val="none"/>
        </w:rPr>
        <w:t xml:space="preserve">偏离</w:t>
      </w:r>
      <w:r>
        <w:rPr>
          <w:rFonts w:hint="eastAsia" w:ascii="宋体" w:hAnsi="宋体" w:eastAsia="宋体" w:cs="宋体"/>
          <w:b/>
          <w:bCs/>
          <w:color w:val="auto"/>
          <w:sz w:val="24"/>
          <w:szCs w:val="20"/>
          <w:highlight w:val="none"/>
        </w:rPr>
        <w:t xml:space="preserve">表（实质性格式）</w:t>
      </w:r>
      <w:r/>
    </w:p>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center"/>
        <w:spacing w:line="360" w:lineRule="auto"/>
        <w:shd w:val="clear" w:color="auto"/>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合同条款偏离表</w:t>
      </w:r>
      <w:r/>
    </w:p>
    <w:p>
      <w:pPr>
        <w:ind w:firstLine="315"/>
        <w:jc w:val="left"/>
        <w:spacing w:line="360" w:lineRule="auto"/>
        <w:shd w:val="clear" w:color="auto"/>
        <w:tabs>
          <w:tab w:val="left" w:pos="1800" w:leader="none"/>
          <w:tab w:val="left" w:pos="558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项目编号/包号：_____________________     项目名称：_____________</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210"/>
        <w:gridCol w:w="1792"/>
        <w:gridCol w:w="1793"/>
        <w:gridCol w:w="2181"/>
        <w:gridCol w:w="739"/>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对本项目合同条款的偏离情况（请进行勾选）：</w:t>
            </w:r>
            <w:r/>
          </w:p>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□无偏离</w:t>
            </w:r>
            <w:r>
              <w:rPr>
                <w:rFonts w:hint="eastAsia" w:ascii="宋体" w:hAnsi="宋体" w:eastAsia="宋体" w:cs="宋体"/>
                <w:color w:val="auto"/>
                <w:szCs w:val="21"/>
                <w:highlight w:val="none"/>
              </w:rPr>
              <w:t xml:space="preserve">（如无偏离，仅勾选无偏离即可）</w:t>
            </w:r>
            <w:r/>
          </w:p>
          <w:p>
            <w:pPr>
              <w:ind w:left="0" w:right="0"/>
              <w:jc w:val="left"/>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b/>
                <w:color w:val="auto"/>
                <w:szCs w:val="21"/>
                <w:highlight w:val="none"/>
              </w:rPr>
              <w:t xml:space="preserve">□有偏离</w:t>
            </w:r>
            <w:r>
              <w:rPr>
                <w:rFonts w:hint="eastAsia" w:ascii="宋体" w:hAnsi="宋体" w:eastAsia="宋体" w:cs="宋体"/>
                <w:color w:val="auto"/>
                <w:szCs w:val="21"/>
                <w:highlight w:val="none"/>
              </w:rPr>
              <w:t xml:space="preserve">（如有偏离，则应在本表中对偏离项逐一列明）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招标文件条目号（页码）</w:t>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招标文件要求</w:t>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投标文件内容</w:t>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偏离情况</w:t>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bl>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1"/>
      </w:pPr>
      <w:r>
        <w:rPr>
          <w:rFonts w:hint="eastAsia" w:ascii="宋体" w:hAnsi="宋体" w:eastAsia="宋体" w:cs="宋体"/>
          <w:color w:val="auto"/>
          <w:sz w:val="24"/>
          <w:szCs w:val="20"/>
          <w:highlight w:val="none"/>
        </w:rPr>
        <w:br w:type="page" w:clear="all"/>
      </w: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spacing w:line="360" w:lineRule="auto"/>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p>
      <w:pPr>
        <w:ind w:firstLine="315"/>
        <w:jc w:val="left"/>
        <w:spacing w:line="360" w:lineRule="auto"/>
        <w:shd w:val="clear" w:color="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69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对本项目采购需求的偏离情况（请进行勾选）：</w:t>
            </w:r>
            <w:r/>
          </w:p>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□无偏离</w:t>
            </w:r>
            <w:r>
              <w:rPr>
                <w:rFonts w:hint="default" w:ascii="宋体" w:hAnsi="宋体" w:cs="宋体"/>
                <w:color w:val="auto"/>
                <w:sz w:val="21"/>
                <w:szCs w:val="21"/>
                <w:highlight w:val="none"/>
              </w:rPr>
              <w:t xml:space="preserve">（如无偏离，仅勾选无偏离即可）</w:t>
            </w:r>
            <w:r/>
          </w:p>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default" w:ascii="宋体" w:hAnsi="宋体" w:cs="宋体"/>
                <w:b/>
                <w:color w:val="auto"/>
                <w:sz w:val="21"/>
                <w:szCs w:val="21"/>
                <w:highlight w:val="none"/>
              </w:rPr>
              <w:t xml:space="preserve">□有偏离</w:t>
            </w:r>
            <w:r>
              <w:rPr>
                <w:rFonts w:hint="default" w:ascii="宋体" w:hAnsi="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招标文件条目号(页码)</w:t>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numPr>
          <w:ilvl w:val="0"/>
          <w:numId w:val="5"/>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numPr>
          <w:ilvl w:val="0"/>
          <w:numId w:val="5"/>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  参加本项目人员一览表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spacing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spacing w:line="360" w:lineRule="auto"/>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参加本项目人员一览表</w:t>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690"/>
        <w:tblW w:w="87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1073"/>
        <w:gridCol w:w="1058"/>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lang w:val="en-US" w:eastAsia="zh-CN"/>
              </w:rPr>
              <w:t xml:space="preserve">持有</w:t>
            </w:r>
            <w:r>
              <w:rPr>
                <w:rFonts w:hint="eastAsia" w:ascii="宋体" w:hAnsi="宋体" w:cs="宋体"/>
                <w:color w:val="auto"/>
                <w:sz w:val="18"/>
                <w:szCs w:val="18"/>
                <w:highlight w:val="none"/>
              </w:rPr>
              <w:t xml:space="preserve">证书</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责任</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或分工</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bl>
    <w:p>
      <w:pPr>
        <w:shd w:val="clear" w:color="auto"/>
        <w:tabs>
          <w:tab w:val="left" w:pos="9765" w:leader="none"/>
        </w:tabs>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r>
      <w:r/>
    </w:p>
    <w:p>
      <w:pPr>
        <w:keepLines w:val="0"/>
        <w:keepNext w:val="0"/>
        <w:pageBreakBefore w:val="0"/>
        <w:spacing w:line="480" w:lineRule="auto"/>
        <w:shd w:val="clear" w:color="auto"/>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注：参加本项目人员须是投标人正式职工。</w:t>
      </w:r>
      <w:r/>
    </w:p>
    <w:p>
      <w:pPr>
        <w:keepLines w:val="0"/>
        <w:keepNext w:val="0"/>
        <w:pageBreakBefore w:val="0"/>
        <w:spacing w:line="480" w:lineRule="auto"/>
        <w:shd w:val="clear" w:color="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hd w:val="clear" w:color="auto"/>
        <w:rPr>
          <w:rFonts w:hint="eastAsia" w:ascii="宋体" w:hAnsi="宋体" w:cs="宋体"/>
          <w:color w:val="auto"/>
          <w:sz w:val="22"/>
          <w:highlight w:val="none"/>
        </w:rPr>
        <w:outlineLvl w:val="9"/>
      </w:pPr>
      <w:r>
        <w:rPr>
          <w:rFonts w:hint="eastAsia" w:ascii="宋体" w:hAnsi="宋体" w:cs="宋体"/>
          <w:color w:val="auto"/>
          <w:sz w:val="22"/>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pStyle w:val="71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16"/>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716"/>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9"/>
      </w:pPr>
      <w:r>
        <w:rPr>
          <w:rFonts w:hint="eastAsia" w:ascii="宋体" w:hAnsi="宋体" w:cs="宋体"/>
          <w:b/>
          <w:bCs/>
          <w:color w:val="auto"/>
          <w:sz w:val="24"/>
          <w:szCs w:val="20"/>
          <w:highlight w:val="none"/>
          <w:lang w:val="en-US" w:eastAsia="zh-CN"/>
        </w:rPr>
      </w:r>
      <w:r/>
    </w:p>
    <w:p>
      <w:pPr>
        <w:shd w:val="clear" w:color="auto"/>
        <w:rPr>
          <w:rFonts w:hint="eastAsia" w:ascii="宋体" w:hAnsi="宋体" w:eastAsia="宋体" w:cs="宋体"/>
          <w:b/>
          <w:bCs/>
          <w:color w:val="auto"/>
          <w:sz w:val="24"/>
          <w:szCs w:val="20"/>
          <w:highlight w:val="none"/>
          <w:lang w:eastAsia="zh-CN"/>
        </w:rPr>
        <w:outlineLvl w:val="9"/>
      </w:pP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val="en-US" w:eastAsia="zh-CN"/>
        </w:rPr>
        <w:t xml:space="preserve">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1"/>
      </w:pPr>
      <w:r>
        <w:rPr>
          <w:rFonts w:hint="eastAsia" w:ascii="宋体" w:hAnsi="宋体" w:cs="宋体"/>
          <w:color w:val="auto"/>
          <w:sz w:val="24"/>
          <w:szCs w:val="20"/>
          <w:highlight w:val="none"/>
        </w:rPr>
      </w:r>
      <w:r/>
    </w:p>
    <w:p>
      <w:pPr>
        <w:jc w:val="center"/>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p>
      <w:pPr>
        <w:jc w:val="center"/>
        <w:spacing w:line="360" w:lineRule="auto"/>
        <w:shd w:val="clear" w:color="auto"/>
        <w:rPr>
          <w:rFonts w:hint="eastAsia" w:ascii="宋体" w:hAnsi="宋体" w:cs="宋体"/>
          <w:b/>
          <w:color w:val="auto"/>
          <w:sz w:val="28"/>
          <w:szCs w:val="30"/>
          <w:highlight w:val="none"/>
        </w:rPr>
        <w:outlineLvl w:val="9"/>
      </w:pPr>
      <w:r>
        <w:rPr>
          <w:rFonts w:hint="eastAsia" w:ascii="宋体" w:hAnsi="宋体" w:cs="宋体"/>
          <w:b/>
          <w:color w:val="auto"/>
          <w:sz w:val="28"/>
          <w:szCs w:val="30"/>
          <w:highlight w:val="none"/>
        </w:rPr>
      </w:r>
      <w:r/>
    </w:p>
    <w:p>
      <w:pPr>
        <w:ind w:firstLine="420"/>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tbl>
      <w:tblPr>
        <w:tblStyle w:val="690"/>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en-US" w:eastAsia="zh-CN"/>
              </w:rPr>
              <w:t xml:space="preserve">签订</w:t>
            </w:r>
            <w:r>
              <w:rPr>
                <w:rFonts w:hint="eastAsia" w:ascii="宋体" w:hAnsi="宋体" w:cs="宋体"/>
                <w:color w:val="auto"/>
                <w:sz w:val="18"/>
                <w:szCs w:val="18"/>
                <w:highlight w:val="none"/>
                <w:lang w:val="zh-CN"/>
              </w:rPr>
              <w:t xml:space="preserve">时间</w:t>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项目名称</w:t>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合同金额</w:t>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委托</w:t>
            </w:r>
            <w:r>
              <w:rPr>
                <w:rFonts w:hint="eastAsia" w:ascii="宋体" w:hAnsi="宋体" w:cs="宋体"/>
                <w:color w:val="auto"/>
                <w:sz w:val="18"/>
                <w:szCs w:val="18"/>
                <w:highlight w:val="none"/>
                <w:lang w:val="zh-CN"/>
              </w:rPr>
              <w:t xml:space="preserve">单位</w:t>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单位地址</w:t>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联系电话</w:t>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bl>
    <w:p>
      <w:pPr>
        <w:shd w:val="clear" w:color="auto"/>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lang w:val="en-US" w:eastAsia="zh-CN"/>
        </w:rPr>
        <w:t xml:space="preserve">  招标文件要求提供或投标人认为应附的其他材料</w:t>
      </w:r>
      <w:r/>
    </w:p>
    <w:p>
      <w:pPr>
        <w:pStyle w:val="716"/>
        <w:ind w:left="0" w:firstLine="0"/>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716"/>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716"/>
        <w:shd w:val="clear" w:color="auto"/>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eastAsia="宋体" w:cs="宋体"/>
          <w:b/>
          <w:color w:val="auto"/>
          <w:sz w:val="24"/>
          <w:szCs w:val="20"/>
          <w:highlight w:val="none"/>
          <w:lang w:val="en-US" w:eastAsia="zh-CN"/>
        </w:rPr>
        <w:t xml:space="preserve">1</w:t>
      </w:r>
      <w:r>
        <w:rPr>
          <w:rFonts w:hint="eastAsia" w:ascii="宋体" w:hAnsi="宋体" w:cs="宋体"/>
          <w:b/>
          <w:color w:val="auto"/>
          <w:sz w:val="24"/>
          <w:szCs w:val="20"/>
          <w:highlight w:val="none"/>
          <w:lang w:val="en-US" w:eastAsia="zh-CN"/>
        </w:rPr>
        <w:t xml:space="preserve">2</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投标人编制，相关材料格式已作事先导入政府采购客户端，但事先导入内容仅供参考，如与采购文件材料格式不一致的，则以采购文件为准，投标人应按采购文件内材料格式及要求编制并导入政府采购客户端。</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如有相关更正，投标人则应当以更正后的内容及要求自行在文件编制客户端内进行编制。</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r/>
    </w:p>
    <w:p>
      <w:pPr>
        <w:shd w:val="clear" w:color="auto"/>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Symbol">
    <w:panose1 w:val="05050102010706020507"/>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899"/>
      <w:tabs>
        <w:tab w:val="right" w:pos="830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link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name w:val="Heading 1"/>
    <w:basedOn w:val="679"/>
    <w:next w:val="679"/>
    <w:link w:val="725"/>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0"/>
    <w:qFormat/>
    <w:pPr>
      <w:jc w:val="center"/>
      <w:keepLines/>
      <w:keepNext/>
      <w:spacing w:before="120" w:line="300" w:lineRule="auto"/>
      <w:outlineLvl w:val="1"/>
    </w:pPr>
    <w:rPr>
      <w:rFonts w:ascii="Arial" w:hAnsi="Arial" w:eastAsia="黑体"/>
      <w:b/>
      <w:sz w:val="30"/>
      <w:szCs w:val="20"/>
    </w:rPr>
  </w:style>
  <w:style w:type="paragraph" w:styleId="682">
    <w:name w:val="Heading 3"/>
    <w:basedOn w:val="679"/>
    <w:next w:val="691"/>
    <w:uiPriority w:val="0"/>
    <w:qFormat/>
    <w:pPr>
      <w:jc w:val="left"/>
      <w:keepLines/>
      <w:keepNext/>
      <w:spacing w:before="360" w:after="120"/>
      <w:outlineLvl w:val="2"/>
    </w:pPr>
    <w:rPr>
      <w:rFonts w:ascii="宋体"/>
      <w:b/>
      <w:sz w:val="24"/>
      <w:szCs w:val="20"/>
      <w:u w:val="single"/>
    </w:rPr>
  </w:style>
  <w:style w:type="paragraph" w:styleId="683">
    <w:name w:val="Heading 4"/>
    <w:basedOn w:val="679"/>
    <w:next w:val="679"/>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684">
    <w:name w:val="Heading 5"/>
    <w:basedOn w:val="679"/>
    <w:next w:val="679"/>
    <w:link w:val="729"/>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30"/>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32"/>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33"/>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0"/>
    <w:semiHidden/>
    <w:qFormat/>
  </w:style>
  <w:style w:type="table" w:styleId="69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1">
    <w:name w:val="Normal Indent"/>
    <w:basedOn w:val="679"/>
    <w:next w:val="679"/>
    <w:uiPriority w:val="0"/>
    <w:qFormat/>
    <w:pPr>
      <w:ind w:firstLine="420"/>
      <w:jc w:val="left"/>
    </w:pPr>
    <w:rPr>
      <w:rFonts w:ascii="宋体"/>
      <w:sz w:val="24"/>
    </w:rPr>
  </w:style>
  <w:style w:type="paragraph" w:styleId="692">
    <w:name w:val="toc 7"/>
    <w:basedOn w:val="679"/>
    <w:next w:val="679"/>
    <w:uiPriority w:val="39"/>
    <w:unhideWhenUsed/>
    <w:qFormat/>
    <w:pPr>
      <w:ind w:left="1701" w:right="0" w:firstLine="0"/>
      <w:spacing w:after="57"/>
    </w:pPr>
  </w:style>
  <w:style w:type="paragraph" w:styleId="693">
    <w:name w:val="Caption"/>
    <w:basedOn w:val="679"/>
    <w:next w:val="6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4">
    <w:name w:val="annotation text"/>
    <w:basedOn w:val="679"/>
    <w:uiPriority w:val="99"/>
    <w:unhideWhenUsed/>
    <w:qFormat/>
    <w:pPr>
      <w:jc w:val="left"/>
    </w:pPr>
  </w:style>
  <w:style w:type="paragraph" w:styleId="695">
    <w:name w:val="Body Text"/>
    <w:basedOn w:val="679"/>
    <w:uiPriority w:val="0"/>
    <w:qFormat/>
    <w:pPr>
      <w:spacing w:before="120" w:line="22" w:lineRule="atLeast"/>
      <w:tabs>
        <w:tab w:val="left" w:pos="567" w:leader="none"/>
      </w:tabs>
    </w:pPr>
    <w:rPr>
      <w:rFonts w:ascii="宋体" w:hAnsi="宋体"/>
      <w:sz w:val="24"/>
    </w:rPr>
  </w:style>
  <w:style w:type="paragraph" w:styleId="696">
    <w:name w:val="Body Text Indent"/>
    <w:basedOn w:val="679"/>
    <w:next w:val="679"/>
    <w:uiPriority w:val="0"/>
    <w:unhideWhenUsed/>
    <w:qFormat/>
    <w:pPr>
      <w:ind w:left="420"/>
      <w:spacing w:after="120"/>
    </w:pPr>
  </w:style>
  <w:style w:type="paragraph" w:styleId="697">
    <w:name w:val="index 4"/>
    <w:basedOn w:val="679"/>
    <w:next w:val="679"/>
    <w:uiPriority w:val="99"/>
    <w:qFormat/>
    <w:pPr>
      <w:ind w:left="600"/>
    </w:pPr>
    <w:rPr>
      <w:szCs w:val="24"/>
    </w:rPr>
  </w:style>
  <w:style w:type="paragraph" w:styleId="698">
    <w:name w:val="toc 5"/>
    <w:basedOn w:val="679"/>
    <w:next w:val="679"/>
    <w:uiPriority w:val="39"/>
    <w:unhideWhenUsed/>
    <w:qFormat/>
    <w:pPr>
      <w:ind w:left="1134" w:right="0" w:firstLine="0"/>
      <w:spacing w:after="57"/>
    </w:pPr>
  </w:style>
  <w:style w:type="paragraph" w:styleId="699">
    <w:name w:val="toc 3"/>
    <w:basedOn w:val="679"/>
    <w:next w:val="679"/>
    <w:uiPriority w:val="39"/>
    <w:unhideWhenUsed/>
    <w:qFormat/>
    <w:pPr>
      <w:ind w:left="567" w:right="0" w:firstLine="0"/>
      <w:spacing w:after="57"/>
    </w:pPr>
  </w:style>
  <w:style w:type="paragraph" w:styleId="700">
    <w:name w:val="Plain Text"/>
    <w:basedOn w:val="679"/>
    <w:uiPriority w:val="0"/>
    <w:qFormat/>
    <w:rPr>
      <w:rFonts w:hint="eastAsia" w:ascii="宋体" w:hAnsi="Courier New"/>
      <w:szCs w:val="20"/>
    </w:rPr>
  </w:style>
  <w:style w:type="paragraph" w:styleId="701">
    <w:name w:val="toc 8"/>
    <w:basedOn w:val="679"/>
    <w:next w:val="679"/>
    <w:uiPriority w:val="39"/>
    <w:unhideWhenUsed/>
    <w:qFormat/>
    <w:pPr>
      <w:ind w:left="1984" w:right="0" w:firstLine="0"/>
      <w:spacing w:after="57"/>
    </w:pPr>
  </w:style>
  <w:style w:type="paragraph" w:styleId="702">
    <w:name w:val="endnote text"/>
    <w:basedOn w:val="679"/>
    <w:link w:val="870"/>
    <w:uiPriority w:val="99"/>
    <w:semiHidden/>
    <w:unhideWhenUsed/>
    <w:qFormat/>
    <w:pPr>
      <w:spacing w:after="0" w:line="240" w:lineRule="auto"/>
    </w:pPr>
    <w:rPr>
      <w:sz w:val="20"/>
    </w:rPr>
  </w:style>
  <w:style w:type="paragraph" w:styleId="703">
    <w:name w:val="Footer"/>
    <w:basedOn w:val="679"/>
    <w:uiPriority w:val="99"/>
    <w:qFormat/>
    <w:pPr>
      <w:jc w:val="left"/>
      <w:tabs>
        <w:tab w:val="center" w:pos="4153" w:leader="none"/>
        <w:tab w:val="right" w:pos="8306" w:leader="none"/>
      </w:tabs>
    </w:pPr>
    <w:rPr>
      <w:rFonts w:ascii="宋体"/>
      <w:sz w:val="18"/>
      <w:szCs w:val="20"/>
    </w:rPr>
  </w:style>
  <w:style w:type="paragraph" w:styleId="704">
    <w:name w:val="Header"/>
    <w:basedOn w:val="679"/>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9"/>
    <w:next w:val="679"/>
    <w:uiPriority w:val="39"/>
    <w:qFormat/>
    <w:pPr>
      <w:spacing w:line="300" w:lineRule="auto"/>
      <w:tabs>
        <w:tab w:val="left" w:pos="1050" w:leader="none"/>
        <w:tab w:val="right" w:pos="8937" w:leader="dot"/>
      </w:tabs>
    </w:pPr>
    <w:rPr>
      <w:rFonts w:ascii="宋体" w:hAnsi="宋体"/>
      <w:b/>
      <w:sz w:val="24"/>
    </w:rPr>
  </w:style>
  <w:style w:type="paragraph" w:styleId="706">
    <w:name w:val="toc 4"/>
    <w:basedOn w:val="679"/>
    <w:next w:val="679"/>
    <w:uiPriority w:val="39"/>
    <w:unhideWhenUsed/>
    <w:qFormat/>
    <w:pPr>
      <w:ind w:left="850" w:right="0" w:firstLine="0"/>
      <w:spacing w:after="57"/>
    </w:pPr>
  </w:style>
  <w:style w:type="paragraph" w:styleId="707">
    <w:name w:val="Subtitle"/>
    <w:basedOn w:val="679"/>
    <w:next w:val="679"/>
    <w:link w:val="736"/>
    <w:uiPriority w:val="11"/>
    <w:qFormat/>
    <w:pPr>
      <w:spacing w:before="200" w:after="200"/>
    </w:pPr>
    <w:rPr>
      <w:sz w:val="24"/>
      <w:szCs w:val="24"/>
    </w:rPr>
  </w:style>
  <w:style w:type="paragraph" w:styleId="708">
    <w:name w:val="footnote text"/>
    <w:basedOn w:val="679"/>
    <w:link w:val="869"/>
    <w:uiPriority w:val="99"/>
    <w:semiHidden/>
    <w:unhideWhenUsed/>
    <w:qFormat/>
    <w:pPr>
      <w:spacing w:after="40" w:line="240" w:lineRule="auto"/>
    </w:pPr>
    <w:rPr>
      <w:sz w:val="18"/>
    </w:rPr>
  </w:style>
  <w:style w:type="paragraph" w:styleId="709">
    <w:name w:val="toc 6"/>
    <w:basedOn w:val="679"/>
    <w:next w:val="679"/>
    <w:uiPriority w:val="39"/>
    <w:unhideWhenUsed/>
    <w:qFormat/>
    <w:pPr>
      <w:ind w:left="1417" w:right="0" w:firstLine="0"/>
      <w:spacing w:after="57"/>
    </w:pPr>
  </w:style>
  <w:style w:type="paragraph" w:styleId="710">
    <w:name w:val="table of figures"/>
    <w:basedOn w:val="679"/>
    <w:next w:val="679"/>
    <w:uiPriority w:val="99"/>
    <w:unhideWhenUsed/>
    <w:qFormat/>
    <w:pPr>
      <w:spacing w:after="0" w:afterAutospacing="0"/>
    </w:pPr>
  </w:style>
  <w:style w:type="paragraph" w:styleId="711">
    <w:name w:val="toc 2"/>
    <w:basedOn w:val="679"/>
    <w:next w:val="679"/>
    <w:uiPriority w:val="39"/>
    <w:unhideWhenUsed/>
    <w:qFormat/>
    <w:pPr>
      <w:ind w:left="283" w:right="0" w:firstLine="0"/>
      <w:spacing w:after="57"/>
    </w:pPr>
  </w:style>
  <w:style w:type="paragraph" w:styleId="712">
    <w:name w:val="toc 9"/>
    <w:basedOn w:val="679"/>
    <w:next w:val="679"/>
    <w:uiPriority w:val="39"/>
    <w:unhideWhenUsed/>
    <w:qFormat/>
    <w:pPr>
      <w:ind w:left="2268" w:right="0" w:firstLine="0"/>
      <w:spacing w:after="57"/>
    </w:pPr>
  </w:style>
  <w:style w:type="paragraph" w:styleId="713">
    <w:name w:val="Normal (Web)"/>
    <w:basedOn w:val="67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4">
    <w:name w:val="Title"/>
    <w:basedOn w:val="679"/>
    <w:next w:val="679"/>
    <w:link w:val="735"/>
    <w:uiPriority w:val="10"/>
    <w:qFormat/>
    <w:pPr>
      <w:contextualSpacing/>
      <w:spacing w:before="300" w:after="200"/>
    </w:pPr>
    <w:rPr>
      <w:sz w:val="48"/>
      <w:szCs w:val="48"/>
    </w:rPr>
  </w:style>
  <w:style w:type="paragraph" w:styleId="715">
    <w:name w:val="Body Text First Indent"/>
    <w:basedOn w:val="695"/>
    <w:uiPriority w:val="0"/>
    <w:qFormat/>
    <w:pPr>
      <w:ind w:firstLine="420"/>
      <w:spacing w:after="120"/>
    </w:pPr>
    <w:rPr>
      <w:sz w:val="21"/>
      <w:szCs w:val="24"/>
    </w:rPr>
  </w:style>
  <w:style w:type="paragraph" w:styleId="716">
    <w:name w:val="Body Text First Indent 2"/>
    <w:basedOn w:val="679"/>
    <w:next w:val="679"/>
    <w:uiPriority w:val="0"/>
    <w:qFormat/>
    <w:pPr>
      <w:ind w:firstLine="420"/>
    </w:pPr>
  </w:style>
  <w:style w:type="table" w:styleId="717">
    <w:name w:val="Table Grid"/>
    <w:basedOn w:val="6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uiPriority w:val="22"/>
    <w:qFormat/>
    <w:rPr>
      <w:b/>
      <w:bCs/>
    </w:rPr>
  </w:style>
  <w:style w:type="character" w:styleId="719">
    <w:name w:val="endnote reference"/>
    <w:basedOn w:val="689"/>
    <w:uiPriority w:val="99"/>
    <w:semiHidden/>
    <w:unhideWhenUsed/>
    <w:qFormat/>
    <w:rPr>
      <w:vertAlign w:val="superscript"/>
    </w:rPr>
  </w:style>
  <w:style w:type="character" w:styleId="720">
    <w:name w:val="page number"/>
    <w:basedOn w:val="689"/>
    <w:uiPriority w:val="0"/>
    <w:qFormat/>
  </w:style>
  <w:style w:type="character" w:styleId="721">
    <w:name w:val="Hyperlink"/>
    <w:uiPriority w:val="99"/>
    <w:qFormat/>
    <w:rPr>
      <w:color w:val="0000ff"/>
      <w:u w:val="single"/>
    </w:rPr>
  </w:style>
  <w:style w:type="character" w:styleId="722">
    <w:name w:val="annotation reference"/>
    <w:basedOn w:val="689"/>
    <w:uiPriority w:val="99"/>
    <w:qFormat/>
    <w:rPr>
      <w:sz w:val="21"/>
      <w:szCs w:val="21"/>
    </w:rPr>
  </w:style>
  <w:style w:type="character" w:styleId="723">
    <w:name w:val="footnote reference"/>
    <w:basedOn w:val="689"/>
    <w:uiPriority w:val="99"/>
    <w:unhideWhenUsed/>
    <w:qFormat/>
    <w:rPr>
      <w:vertAlign w:val="superscript"/>
    </w:rPr>
  </w:style>
  <w:style w:type="paragraph" w:styleId="72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725" w:customStyle="1">
    <w:name w:val="Heading 1 Char"/>
    <w:basedOn w:val="689"/>
    <w:link w:val="680"/>
    <w:uiPriority w:val="9"/>
    <w:qFormat/>
    <w:rPr>
      <w:rFonts w:ascii="Arial" w:hAnsi="Arial" w:eastAsia="Arial" w:cs="Arial"/>
      <w:sz w:val="40"/>
      <w:szCs w:val="40"/>
    </w:rPr>
  </w:style>
  <w:style w:type="character" w:styleId="726" w:customStyle="1">
    <w:name w:val="Heading 2 Char"/>
    <w:basedOn w:val="689"/>
    <w:uiPriority w:val="9"/>
    <w:qFormat/>
    <w:rPr>
      <w:rFonts w:ascii="Arial" w:hAnsi="Arial" w:eastAsia="Arial" w:cs="Arial"/>
      <w:sz w:val="34"/>
    </w:rPr>
  </w:style>
  <w:style w:type="character" w:styleId="727" w:customStyle="1">
    <w:name w:val="Heading 3 Char"/>
    <w:basedOn w:val="689"/>
    <w:uiPriority w:val="9"/>
    <w:qFormat/>
    <w:rPr>
      <w:rFonts w:ascii="Arial" w:hAnsi="Arial" w:eastAsia="Arial" w:cs="Arial"/>
      <w:sz w:val="30"/>
      <w:szCs w:val="30"/>
    </w:rPr>
  </w:style>
  <w:style w:type="character" w:styleId="728" w:customStyle="1">
    <w:name w:val="Heading 4 Char"/>
    <w:basedOn w:val="689"/>
    <w:uiPriority w:val="9"/>
    <w:qFormat/>
    <w:rPr>
      <w:rFonts w:ascii="Arial" w:hAnsi="Arial" w:eastAsia="Arial" w:cs="Arial"/>
      <w:b/>
      <w:bCs/>
      <w:sz w:val="26"/>
      <w:szCs w:val="26"/>
    </w:rPr>
  </w:style>
  <w:style w:type="character" w:styleId="729" w:customStyle="1">
    <w:name w:val="Heading 5 Char"/>
    <w:basedOn w:val="689"/>
    <w:link w:val="684"/>
    <w:uiPriority w:val="9"/>
    <w:qFormat/>
    <w:rPr>
      <w:rFonts w:ascii="Arial" w:hAnsi="Arial" w:eastAsia="Arial" w:cs="Arial"/>
      <w:b/>
      <w:bCs/>
      <w:sz w:val="24"/>
      <w:szCs w:val="24"/>
    </w:rPr>
  </w:style>
  <w:style w:type="character" w:styleId="730" w:customStyle="1">
    <w:name w:val="Heading 6 Char"/>
    <w:basedOn w:val="689"/>
    <w:link w:val="685"/>
    <w:uiPriority w:val="9"/>
    <w:qFormat/>
    <w:rPr>
      <w:rFonts w:ascii="Arial" w:hAnsi="Arial" w:eastAsia="Arial" w:cs="Arial"/>
      <w:b/>
      <w:bCs/>
      <w:sz w:val="22"/>
      <w:szCs w:val="22"/>
    </w:rPr>
  </w:style>
  <w:style w:type="character" w:styleId="731" w:customStyle="1">
    <w:name w:val="Heading 7 Char"/>
    <w:basedOn w:val="689"/>
    <w:link w:val="686"/>
    <w:uiPriority w:val="9"/>
    <w:qFormat/>
    <w:rPr>
      <w:rFonts w:ascii="Arial" w:hAnsi="Arial" w:eastAsia="Arial" w:cs="Arial"/>
      <w:b/>
      <w:bCs/>
      <w:i/>
      <w:iCs/>
      <w:sz w:val="22"/>
      <w:szCs w:val="22"/>
    </w:rPr>
  </w:style>
  <w:style w:type="character" w:styleId="732" w:customStyle="1">
    <w:name w:val="Heading 8 Char"/>
    <w:basedOn w:val="689"/>
    <w:link w:val="687"/>
    <w:uiPriority w:val="9"/>
    <w:qFormat/>
    <w:rPr>
      <w:rFonts w:ascii="Arial" w:hAnsi="Arial" w:eastAsia="Arial" w:cs="Arial"/>
      <w:i/>
      <w:iCs/>
      <w:sz w:val="22"/>
      <w:szCs w:val="22"/>
    </w:rPr>
  </w:style>
  <w:style w:type="character" w:styleId="733" w:customStyle="1">
    <w:name w:val="Heading 9 Char"/>
    <w:basedOn w:val="689"/>
    <w:link w:val="688"/>
    <w:uiPriority w:val="9"/>
    <w:qFormat/>
    <w:rPr>
      <w:rFonts w:ascii="Arial" w:hAnsi="Arial" w:eastAsia="Arial" w:cs="Arial"/>
      <w:i/>
      <w:iCs/>
      <w:sz w:val="21"/>
      <w:szCs w:val="21"/>
    </w:r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89"/>
    <w:link w:val="714"/>
    <w:uiPriority w:val="10"/>
    <w:qFormat/>
    <w:rPr>
      <w:sz w:val="48"/>
      <w:szCs w:val="48"/>
    </w:rPr>
  </w:style>
  <w:style w:type="character" w:styleId="736" w:customStyle="1">
    <w:name w:val="Subtitle Char"/>
    <w:basedOn w:val="689"/>
    <w:link w:val="707"/>
    <w:uiPriority w:val="11"/>
    <w:qFormat/>
    <w:rPr>
      <w:sz w:val="24"/>
      <w:szCs w:val="24"/>
    </w:rPr>
  </w:style>
  <w:style w:type="paragraph" w:styleId="737">
    <w:name w:val="Quote"/>
    <w:basedOn w:val="679"/>
    <w:next w:val="679"/>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79"/>
    <w:next w:val="679"/>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89"/>
    <w:uiPriority w:val="99"/>
    <w:qFormat/>
  </w:style>
  <w:style w:type="character" w:styleId="742" w:customStyle="1">
    <w:name w:val="Footer Char"/>
    <w:basedOn w:val="689"/>
    <w:uiPriority w:val="99"/>
    <w:qFormat/>
  </w:style>
  <w:style w:type="character" w:styleId="743" w:customStyle="1">
    <w:name w:val="Caption Char"/>
    <w:uiPriority w:val="99"/>
    <w:qFormat/>
  </w:style>
  <w:style w:type="table" w:styleId="744"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6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6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6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6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6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6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6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6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6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6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6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6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69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6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6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9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9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9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08"/>
    <w:uiPriority w:val="99"/>
    <w:qFormat/>
    <w:rPr>
      <w:sz w:val="18"/>
    </w:rPr>
  </w:style>
  <w:style w:type="character" w:styleId="870" w:customStyle="1">
    <w:name w:val="Endnote Text Char"/>
    <w:link w:val="702"/>
    <w:uiPriority w:val="99"/>
    <w:qFormat/>
    <w:rPr>
      <w:sz w:val="20"/>
    </w:rPr>
  </w:style>
  <w:style w:type="paragraph" w:styleId="871" w:customStyle="1">
    <w:name w:val="TOC Heading"/>
    <w:uiPriority w:val="39"/>
    <w:unhideWhenUsed/>
    <w:rPr>
      <w:rFonts w:hint="default" w:ascii="Times New Roman" w:hAnsi="Times New Roman" w:eastAsia="宋体" w:cs="Times New Roman"/>
    </w:rPr>
  </w:style>
  <w:style w:type="paragraph" w:styleId="872" w:customStyle="1">
    <w:name w:val="正文文本1"/>
    <w:basedOn w:val="679"/>
    <w:next w:val="679"/>
    <w:uiPriority w:val="0"/>
    <w:qFormat/>
    <w:pPr>
      <w:spacing w:before="120" w:line="22" w:lineRule="atLeast"/>
      <w:tabs>
        <w:tab w:val="left" w:pos="567" w:leader="none"/>
      </w:tabs>
    </w:pPr>
    <w:rPr>
      <w:rFonts w:ascii="宋体" w:hAnsi="宋体"/>
      <w:sz w:val="24"/>
    </w:rPr>
  </w:style>
  <w:style w:type="paragraph" w:styleId="873" w:customStyle="1">
    <w:name w:val="正文1"/>
    <w:basedOn w:val="679"/>
    <w:next w:val="679"/>
    <w:uiPriority w:val="0"/>
    <w:qFormat/>
    <w:pPr>
      <w:ind w:left="420" w:firstLine="527"/>
      <w:spacing w:before="120" w:line="360" w:lineRule="auto"/>
    </w:pPr>
    <w:rPr>
      <w:rFonts w:ascii="宋体" w:hAnsi="宋体"/>
    </w:rPr>
  </w:style>
  <w:style w:type="paragraph" w:styleId="874" w:customStyle="1">
    <w:name w:val="图例"/>
    <w:basedOn w:val="679"/>
    <w:uiPriority w:val="0"/>
    <w:qFormat/>
    <w:pPr>
      <w:jc w:val="center"/>
      <w:spacing w:before="120" w:after="120" w:line="360" w:lineRule="auto"/>
    </w:pPr>
    <w:rPr>
      <w:rFonts w:eastAsia="仿宋_GB2312"/>
      <w:b/>
      <w:sz w:val="24"/>
      <w:szCs w:val="20"/>
    </w:rPr>
  </w:style>
  <w:style w:type="paragraph" w:styleId="875">
    <w:name w:val="List Paragraph"/>
    <w:basedOn w:val="679"/>
    <w:uiPriority w:val="34"/>
    <w:qFormat/>
    <w:pPr>
      <w:ind w:firstLine="420"/>
    </w:pPr>
    <w:rPr>
      <w:rFonts w:ascii="Calibri" w:hAnsi="Calibri"/>
      <w:szCs w:val="22"/>
    </w:rPr>
  </w:style>
  <w:style w:type="paragraph" w:styleId="876" w:customStyle="1">
    <w:name w:val="Table Paragraph"/>
    <w:basedOn w:val="679"/>
    <w:uiPriority w:val="1"/>
    <w:qFormat/>
    <w:pPr>
      <w:jc w:val="left"/>
    </w:pPr>
    <w:rPr>
      <w:rFonts w:ascii="宋体" w:hAnsi="宋体" w:cs="宋体"/>
      <w:sz w:val="22"/>
      <w:szCs w:val="22"/>
      <w:lang w:eastAsia="en-US"/>
    </w:rPr>
  </w:style>
  <w:style w:type="paragraph" w:styleId="877" w:customStyle="1">
    <w:name w:val="成文日期"/>
    <w:basedOn w:val="679"/>
    <w:uiPriority w:val="0"/>
    <w:qFormat/>
    <w:pPr>
      <w:ind w:right="400" w:firstLine="200"/>
      <w:jc w:val="right"/>
      <w:spacing w:line="570" w:lineRule="exact"/>
    </w:pPr>
    <w:rPr>
      <w:rFonts w:ascii="仿宋_GB2312" w:eastAsia="仿宋_GB2312"/>
      <w:sz w:val="32"/>
      <w:szCs w:val="20"/>
    </w:rPr>
  </w:style>
  <w:style w:type="character" w:styleId="878" w:customStyle="1">
    <w:name w:val="font81"/>
    <w:basedOn w:val="689"/>
    <w:uiPriority w:val="0"/>
    <w:qFormat/>
    <w:rPr>
      <w:rFonts w:hint="eastAsia" w:ascii="微软雅黑" w:hAnsi="微软雅黑" w:eastAsia="微软雅黑" w:cs="微软雅黑"/>
      <w:color w:val="000000"/>
      <w:sz w:val="18"/>
      <w:szCs w:val="18"/>
      <w:u w:val="none"/>
    </w:rPr>
  </w:style>
  <w:style w:type="character" w:styleId="879" w:customStyle="1">
    <w:name w:val="font121"/>
    <w:basedOn w:val="689"/>
    <w:uiPriority w:val="0"/>
    <w:qFormat/>
    <w:rPr>
      <w:rFonts w:ascii="微软雅黑" w:hAnsi="微软雅黑" w:eastAsia="微软雅黑" w:cs="微软雅黑"/>
      <w:color w:val="000000"/>
      <w:sz w:val="18"/>
      <w:szCs w:val="18"/>
      <w:u w:val="none"/>
    </w:rPr>
  </w:style>
  <w:style w:type="character" w:styleId="880" w:customStyle="1">
    <w:name w:val="font131"/>
    <w:basedOn w:val="689"/>
    <w:uiPriority w:val="0"/>
    <w:qFormat/>
    <w:rPr>
      <w:rFonts w:ascii="Arial" w:hAnsi="Arial" w:cs="Arial"/>
      <w:color w:val="000000"/>
      <w:sz w:val="18"/>
      <w:szCs w:val="18"/>
      <w:u w:val="none"/>
    </w:rPr>
  </w:style>
  <w:style w:type="paragraph" w:styleId="881" w:customStyle="1">
    <w:name w:val="列表段落1"/>
    <w:basedOn w:val="679"/>
    <w:uiPriority w:val="34"/>
    <w:qFormat/>
    <w:pPr>
      <w:ind w:firstLine="420"/>
    </w:pPr>
  </w:style>
  <w:style w:type="paragraph" w:styleId="882" w:customStyle="1">
    <w:name w:val="Body Text Indent 21"/>
    <w:basedOn w:val="679"/>
    <w:uiPriority w:val="0"/>
    <w:qFormat/>
    <w:pPr>
      <w:ind w:left="200"/>
      <w:spacing w:before="100" w:beforeAutospacing="1" w:after="100" w:afterAutospacing="1" w:line="480" w:lineRule="auto"/>
    </w:pPr>
    <w:rPr>
      <w:rFonts w:ascii="Calibri" w:hAnsi="Calibri"/>
    </w:rPr>
  </w:style>
  <w:style w:type="character" w:styleId="883" w:customStyle="1">
    <w:name w:val="font51"/>
    <w:basedOn w:val="689"/>
    <w:uiPriority w:val="0"/>
    <w:qFormat/>
    <w:rPr>
      <w:rFonts w:hint="eastAsia" w:ascii="宋体" w:hAnsi="宋体" w:eastAsia="宋体" w:cs="宋体"/>
      <w:b/>
      <w:bCs/>
      <w:color w:val="000000"/>
      <w:sz w:val="12"/>
      <w:szCs w:val="12"/>
      <w:u w:val="none"/>
      <w:vertAlign w:val="superscript"/>
    </w:rPr>
  </w:style>
  <w:style w:type="character" w:styleId="884" w:customStyle="1">
    <w:name w:val="font31"/>
    <w:basedOn w:val="689"/>
    <w:uiPriority w:val="0"/>
    <w:qFormat/>
    <w:rPr>
      <w:rFonts w:hint="eastAsia" w:ascii="宋体" w:hAnsi="宋体" w:eastAsia="宋体" w:cs="宋体"/>
      <w:b/>
      <w:bCs/>
      <w:color w:val="000000"/>
      <w:sz w:val="12"/>
      <w:szCs w:val="12"/>
      <w:u w:val="none"/>
    </w:rPr>
  </w:style>
  <w:style w:type="character" w:styleId="885" w:customStyle="1">
    <w:name w:val="font21"/>
    <w:uiPriority w:val="0"/>
    <w:qFormat/>
    <w:rPr>
      <w:rFonts w:hint="default" w:ascii="Times New Roman" w:hAnsi="Times New Roman" w:cs="Times New Roman"/>
      <w:color w:val="000000"/>
      <w:sz w:val="20"/>
      <w:szCs w:val="20"/>
      <w:u w:val="none"/>
    </w:rPr>
  </w:style>
  <w:style w:type="character" w:styleId="886" w:customStyle="1">
    <w:name w:val="font41"/>
    <w:uiPriority w:val="0"/>
    <w:qFormat/>
    <w:rPr>
      <w:rFonts w:hint="eastAsia" w:ascii="宋体" w:hAnsi="宋体" w:eastAsia="宋体" w:cs="宋体"/>
      <w:color w:val="000000"/>
      <w:sz w:val="20"/>
      <w:szCs w:val="20"/>
      <w:u w:val="none"/>
    </w:rPr>
  </w:style>
  <w:style w:type="paragraph" w:styleId="887" w:customStyle="1">
    <w:name w:val="标题 41"/>
    <w:basedOn w:val="679"/>
    <w:next w:val="679"/>
    <w:uiPriority w:val="0"/>
    <w:qFormat/>
    <w:pPr>
      <w:keepLines/>
      <w:keepNext/>
      <w:spacing w:before="280" w:after="290" w:line="376" w:lineRule="atLeast"/>
      <w:outlineLvl w:val="3"/>
    </w:pPr>
    <w:rPr>
      <w:rFonts w:ascii="Arial" w:hAnsi="Arial" w:eastAsia="黑体"/>
      <w:b/>
      <w:sz w:val="28"/>
      <w:szCs w:val="20"/>
    </w:rPr>
  </w:style>
  <w:style w:type="paragraph" w:styleId="888" w:customStyle="1">
    <w:name w:val="一、"/>
    <w:basedOn w:val="679"/>
    <w:uiPriority w:val="0"/>
    <w:qFormat/>
    <w:pPr>
      <w:ind w:firstLine="640"/>
    </w:pPr>
    <w:rPr>
      <w:rFonts w:eastAsia="黑体"/>
      <w:szCs w:val="32"/>
    </w:rPr>
  </w:style>
  <w:style w:type="paragraph" w:styleId="889" w:customStyle="1">
    <w:name w:val="正文文本首行缩进1"/>
    <w:basedOn w:val="695"/>
    <w:uiPriority w:val="99"/>
    <w:qFormat/>
    <w:pPr>
      <w:ind w:firstLine="420"/>
    </w:pPr>
  </w:style>
  <w:style w:type="paragraph" w:styleId="890" w:customStyle="1">
    <w:name w:val="列表段落2"/>
    <w:basedOn w:val="679"/>
    <w:uiPriority w:val="34"/>
    <w:qFormat/>
    <w:pPr>
      <w:ind w:firstLine="420"/>
    </w:pPr>
    <w:rPr>
      <w:rFonts w:ascii="Calibri" w:hAnsi="Calibri"/>
      <w:szCs w:val="22"/>
    </w:rPr>
  </w:style>
  <w:style w:type="paragraph" w:styleId="891" w:customStyle="1">
    <w:name w:val="List Paragraph1"/>
    <w:basedOn w:val="679"/>
    <w:uiPriority w:val="99"/>
    <w:qFormat/>
    <w:pPr>
      <w:ind w:firstLine="420"/>
    </w:pPr>
    <w:rPr>
      <w:rFonts w:ascii="Calibri" w:hAnsi="Calibri"/>
      <w:szCs w:val="22"/>
    </w:rPr>
  </w:style>
  <w:style w:type="paragraph" w:styleId="892" w:customStyle="1">
    <w:name w:val="列出段落"/>
    <w:basedOn w:val="679"/>
    <w:uiPriority w:val="34"/>
    <w:qFormat/>
    <w:pPr>
      <w:contextualSpacing/>
      <w:ind w:left="720"/>
      <w:jc w:val="left"/>
      <w:widowControl/>
    </w:pPr>
    <w:rPr>
      <w:rFonts w:ascii="Calibri" w:hAnsi="Calibri"/>
      <w:sz w:val="24"/>
      <w:szCs w:val="24"/>
      <w:lang w:eastAsia="en-US" w:bidi="en-US"/>
    </w:rPr>
  </w:style>
  <w:style w:type="paragraph" w:styleId="893" w:customStyle="1">
    <w:name w:val="纯文本1"/>
    <w:basedOn w:val="679"/>
    <w:uiPriority w:val="0"/>
    <w:qFormat/>
    <w:rPr>
      <w:rFonts w:ascii="宋体" w:hAnsi="Courier New" w:cs="Courier New"/>
    </w:rPr>
  </w:style>
  <w:style w:type="paragraph" w:styleId="894" w:customStyle="1">
    <w:name w:val="普通(网站)1"/>
    <w:basedOn w:val="679"/>
    <w:uiPriority w:val="99"/>
    <w:qFormat/>
    <w:pPr>
      <w:jc w:val="left"/>
      <w:spacing w:before="100" w:beforeAutospacing="1" w:after="100" w:afterAutospacing="1"/>
      <w:widowControl/>
    </w:pPr>
    <w:rPr>
      <w:rFonts w:ascii="宋体" w:hAnsi="宋体" w:cs="宋体"/>
      <w:sz w:val="24"/>
      <w:szCs w:val="24"/>
    </w:rPr>
  </w:style>
  <w:style w:type="paragraph" w:styleId="895" w:customStyle="1">
    <w:name w:val="普通正文"/>
    <w:basedOn w:val="679"/>
    <w:uiPriority w:val="0"/>
    <w:qFormat/>
    <w:pPr>
      <w:ind w:firstLine="480"/>
      <w:jc w:val="left"/>
      <w:spacing w:before="120" w:after="120" w:line="360" w:lineRule="auto"/>
    </w:pPr>
    <w:rPr>
      <w:rFonts w:ascii="Arial" w:hAnsi="Arial"/>
      <w:sz w:val="24"/>
      <w:szCs w:val="24"/>
    </w:rPr>
  </w:style>
  <w:style w:type="paragraph" w:styleId="896" w:customStyle="1">
    <w:name w:val="正文首行缩进1"/>
    <w:basedOn w:val="872"/>
    <w:next w:val="679"/>
    <w:uiPriority w:val="0"/>
    <w:qFormat/>
    <w:pPr>
      <w:ind w:firstLine="200"/>
      <w:spacing w:line="360" w:lineRule="auto"/>
    </w:pPr>
    <w:rPr>
      <w:rFonts w:ascii="仿宋_GB2312" w:eastAsia="仿宋_GB2312"/>
      <w:sz w:val="30"/>
      <w:szCs w:val="30"/>
    </w:rPr>
  </w:style>
  <w:style w:type="character" w:styleId="897" w:customStyle="1">
    <w:name w:val="font141"/>
    <w:basedOn w:val="689"/>
    <w:uiPriority w:val="0"/>
    <w:rPr>
      <w:rFonts w:hint="eastAsia" w:ascii="宋体" w:hAnsi="宋体" w:eastAsia="宋体" w:cs="宋体"/>
      <w:color w:val="000000"/>
      <w:sz w:val="18"/>
      <w:szCs w:val="18"/>
      <w:u w:val="none"/>
    </w:rPr>
  </w:style>
  <w:style w:type="character" w:styleId="898" w:customStyle="1">
    <w:name w:val="NormalCharacter1"/>
    <w:link w:val="679"/>
    <w:uiPriority w:val="0"/>
    <w:qFormat/>
    <w:rPr>
      <w:rFonts w:hint="default" w:ascii="Times New Roman" w:hAnsi="Times New Roman" w:eastAsia="宋体" w:cs="Times New Roman"/>
      <w:sz w:val="21"/>
      <w:szCs w:val="24"/>
      <w:lang w:val="en-US" w:eastAsia="zh-CN" w:bidi="ar-SA"/>
    </w:rPr>
  </w:style>
  <w:style w:type="paragraph" w:styleId="899" w:customStyle="1">
    <w:name w:val="页脚11"/>
    <w:basedOn w:val="679"/>
    <w:uiPriority w:val="99"/>
    <w:qFormat/>
    <w:pPr>
      <w:jc w:val="left"/>
      <w:tabs>
        <w:tab w:val="center" w:pos="4153" w:leader="none"/>
        <w:tab w:val="right" w:pos="8306" w:leader="none"/>
      </w:tabs>
    </w:pPr>
    <w:rPr>
      <w:rFonts w:ascii="宋体"/>
      <w:sz w:val="18"/>
      <w:szCs w:val="20"/>
    </w:rPr>
  </w:style>
  <w:style w:type="character" w:styleId="900" w:customStyle="1">
    <w:name w:val="要点1"/>
    <w:basedOn w:val="901"/>
    <w:link w:val="679"/>
    <w:uiPriority w:val="0"/>
    <w:qFormat/>
    <w:rPr>
      <w:b/>
      <w:bCs/>
    </w:rPr>
  </w:style>
  <w:style w:type="character" w:styleId="901" w:customStyle="1">
    <w:name w:val="默认段落字体1"/>
    <w:link w:val="679"/>
    <w:uiPriority w:val="1"/>
    <w:unhideWhenUsed/>
    <w:qFormat/>
  </w:style>
  <w:style w:type="numbering" w:styleId="16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沈佩铭</cp:lastModifiedBy>
  <cp:revision>5</cp:revision>
  <dcterms:created xsi:type="dcterms:W3CDTF">2022-06-05T03:53:00Z</dcterms:created>
  <dcterms:modified xsi:type="dcterms:W3CDTF">2026-06-02T03:04:12Z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CBFDAB0AE4CE436394A712E8D2A12C1A_13</vt:lpwstr>
  </property>
  <property fmtid="{D5CDD505-2E9C-101B-9397-08002B2CF9AE}" pid="4" name="KSOTemplateDocerSaveRecord">
    <vt:lpwstr>eyJoZGlkIjoiNmI1OWM3MmMzOTVmZGY1ODlhN2U5NGI0YWMxNjhkMDIiLCJ1c2VySWQiOiI5MjQ4ODE5MzIifQ==</vt:lpwstr>
  </property>
</Properties>
</file>